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73" w:rsidRPr="005115F8" w:rsidRDefault="00177373" w:rsidP="00177373">
      <w:pPr>
        <w:widowControl/>
        <w:spacing w:line="480" w:lineRule="exact"/>
        <w:jc w:val="center"/>
        <w:rPr>
          <w:rFonts w:ascii="方正小标宋简体" w:eastAsia="方正小标宋简体" w:hAnsi="方正小标宋简体" w:cs="方正小标宋简体"/>
          <w:color w:val="000000"/>
          <w:kern w:val="0"/>
          <w:sz w:val="44"/>
          <w:szCs w:val="32"/>
        </w:rPr>
      </w:pPr>
      <w:bookmarkStart w:id="0" w:name="_GoBack"/>
      <w:r w:rsidRPr="005115F8">
        <w:rPr>
          <w:rFonts w:ascii="方正小标宋简体" w:eastAsia="方正小标宋简体" w:hAnsi="方正小标宋简体" w:cs="方正小标宋简体" w:hint="eastAsia"/>
          <w:color w:val="000000"/>
          <w:kern w:val="0"/>
          <w:sz w:val="44"/>
          <w:szCs w:val="32"/>
        </w:rPr>
        <w:t>天津科技大学信息公开事项清单</w:t>
      </w:r>
    </w:p>
    <w:bookmarkEnd w:id="0"/>
    <w:p w:rsidR="003D5441" w:rsidRDefault="003D5441" w:rsidP="00177373">
      <w:pPr>
        <w:widowControl/>
        <w:spacing w:line="480" w:lineRule="exact"/>
        <w:jc w:val="center"/>
        <w:rPr>
          <w:rFonts w:ascii="方正小标宋简体" w:eastAsia="方正小标宋简体" w:hAnsi="方正小标宋简体" w:cs="方正小标宋简体"/>
          <w:color w:val="000000"/>
          <w:kern w:val="0"/>
          <w:sz w:val="32"/>
          <w:szCs w:val="32"/>
        </w:rPr>
      </w:pPr>
    </w:p>
    <w:tbl>
      <w:tblPr>
        <w:tblW w:w="1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25"/>
        <w:gridCol w:w="2166"/>
        <w:gridCol w:w="8385"/>
        <w:gridCol w:w="3680"/>
      </w:tblGrid>
      <w:tr w:rsidR="00177373" w:rsidTr="003D5441">
        <w:trPr>
          <w:trHeight w:val="285"/>
          <w:tblHeader/>
          <w:jc w:val="center"/>
        </w:trPr>
        <w:tc>
          <w:tcPr>
            <w:tcW w:w="725"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b/>
                <w:bCs/>
                <w:color w:val="000000"/>
                <w:sz w:val="32"/>
                <w:szCs w:val="32"/>
              </w:rPr>
            </w:pPr>
            <w:r>
              <w:rPr>
                <w:rFonts w:ascii="仿宋" w:eastAsia="仿宋" w:hAnsi="仿宋" w:cs="仿宋" w:hint="eastAsia"/>
                <w:b/>
                <w:bCs/>
                <w:color w:val="000000"/>
                <w:kern w:val="0"/>
                <w:sz w:val="32"/>
                <w:szCs w:val="32"/>
                <w:lang w:bidi="ar"/>
              </w:rPr>
              <w:t>序号</w:t>
            </w:r>
          </w:p>
        </w:tc>
        <w:tc>
          <w:tcPr>
            <w:tcW w:w="2166"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b/>
                <w:bCs/>
                <w:color w:val="000000"/>
                <w:sz w:val="32"/>
                <w:szCs w:val="32"/>
              </w:rPr>
            </w:pPr>
            <w:r>
              <w:rPr>
                <w:rFonts w:ascii="仿宋" w:eastAsia="仿宋" w:hAnsi="仿宋" w:cs="仿宋" w:hint="eastAsia"/>
                <w:b/>
                <w:bCs/>
                <w:color w:val="000000"/>
                <w:kern w:val="0"/>
                <w:sz w:val="32"/>
                <w:szCs w:val="32"/>
                <w:lang w:bidi="ar"/>
              </w:rPr>
              <w:t>类别</w:t>
            </w:r>
          </w:p>
        </w:tc>
        <w:tc>
          <w:tcPr>
            <w:tcW w:w="8385"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b/>
                <w:bCs/>
                <w:color w:val="000000"/>
                <w:sz w:val="32"/>
                <w:szCs w:val="32"/>
              </w:rPr>
            </w:pPr>
            <w:r>
              <w:rPr>
                <w:rFonts w:ascii="仿宋" w:eastAsia="仿宋" w:hAnsi="仿宋" w:cs="仿宋" w:hint="eastAsia"/>
                <w:b/>
                <w:bCs/>
                <w:color w:val="000000"/>
                <w:kern w:val="0"/>
                <w:sz w:val="32"/>
                <w:szCs w:val="32"/>
                <w:lang w:bidi="ar"/>
              </w:rPr>
              <w:t>公开事项</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责任部门</w:t>
            </w:r>
          </w:p>
        </w:tc>
      </w:tr>
      <w:tr w:rsidR="00002B54" w:rsidTr="003D5441">
        <w:trPr>
          <w:trHeight w:val="285"/>
          <w:jc w:val="center"/>
        </w:trPr>
        <w:tc>
          <w:tcPr>
            <w:tcW w:w="725" w:type="dxa"/>
            <w:vMerge w:val="restart"/>
            <w:vAlign w:val="center"/>
          </w:tcPr>
          <w:p w:rsidR="00002B54" w:rsidRDefault="00002B54" w:rsidP="00387364">
            <w:pPr>
              <w:widowControl/>
              <w:adjustRightInd w:val="0"/>
              <w:snapToGrid w:val="0"/>
              <w:spacing w:before="100" w:beforeAutospacing="1" w:after="100" w:afterAutospacing="1"/>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w:t>
            </w:r>
          </w:p>
        </w:tc>
        <w:tc>
          <w:tcPr>
            <w:tcW w:w="2166" w:type="dxa"/>
            <w:vMerge w:val="restart"/>
            <w:vAlign w:val="center"/>
          </w:tcPr>
          <w:p w:rsidR="00002B54" w:rsidRDefault="00002B54" w:rsidP="00387364">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学校基本信息</w:t>
            </w:r>
          </w:p>
          <w:p w:rsidR="00002B54" w:rsidRDefault="00002B54" w:rsidP="00387364">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（7项）</w:t>
            </w:r>
          </w:p>
        </w:tc>
        <w:tc>
          <w:tcPr>
            <w:tcW w:w="8385" w:type="dxa"/>
            <w:vAlign w:val="center"/>
          </w:tcPr>
          <w:p w:rsidR="00002B54" w:rsidRDefault="00002B54"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（1）办学层次、办学规模、办学条件</w:t>
            </w:r>
          </w:p>
        </w:tc>
        <w:tc>
          <w:tcPr>
            <w:tcW w:w="3680" w:type="dxa"/>
            <w:vAlign w:val="center"/>
          </w:tcPr>
          <w:p w:rsidR="00002B54" w:rsidRDefault="00002B54" w:rsidP="00387364">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办公室、发展规划处</w:t>
            </w:r>
          </w:p>
        </w:tc>
      </w:tr>
      <w:tr w:rsidR="00002B54" w:rsidTr="003D5441">
        <w:trPr>
          <w:trHeight w:val="285"/>
          <w:jc w:val="center"/>
        </w:trPr>
        <w:tc>
          <w:tcPr>
            <w:tcW w:w="725" w:type="dxa"/>
            <w:vMerge/>
            <w:vAlign w:val="center"/>
          </w:tcPr>
          <w:p w:rsidR="00002B54" w:rsidRDefault="00002B54" w:rsidP="007D355F">
            <w:pPr>
              <w:widowControl/>
              <w:adjustRightInd w:val="0"/>
              <w:snapToGrid w:val="0"/>
              <w:spacing w:before="100" w:beforeAutospacing="1" w:after="100" w:afterAutospacing="1"/>
              <w:jc w:val="center"/>
              <w:textAlignment w:val="center"/>
              <w:rPr>
                <w:rFonts w:ascii="仿宋" w:eastAsia="仿宋" w:hAnsi="仿宋" w:cs="仿宋"/>
                <w:color w:val="000000"/>
                <w:sz w:val="32"/>
                <w:szCs w:val="32"/>
              </w:rPr>
            </w:pPr>
          </w:p>
        </w:tc>
        <w:tc>
          <w:tcPr>
            <w:tcW w:w="2166" w:type="dxa"/>
            <w:vMerge/>
            <w:vAlign w:val="center"/>
          </w:tcPr>
          <w:p w:rsidR="00002B54" w:rsidRDefault="00002B54" w:rsidP="00C443F5">
            <w:pPr>
              <w:widowControl/>
              <w:adjustRightInd w:val="0"/>
              <w:snapToGrid w:val="0"/>
              <w:jc w:val="center"/>
              <w:textAlignment w:val="center"/>
              <w:rPr>
                <w:rFonts w:ascii="仿宋" w:eastAsia="仿宋" w:hAnsi="仿宋" w:cs="仿宋"/>
                <w:color w:val="000000"/>
                <w:sz w:val="28"/>
                <w:szCs w:val="28"/>
              </w:rPr>
            </w:pPr>
          </w:p>
        </w:tc>
        <w:tc>
          <w:tcPr>
            <w:tcW w:w="8385" w:type="dxa"/>
            <w:vAlign w:val="center"/>
          </w:tcPr>
          <w:p w:rsidR="00002B54" w:rsidRDefault="00002B54"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（2）学校领导班子、机构设置情况</w:t>
            </w:r>
          </w:p>
        </w:tc>
        <w:tc>
          <w:tcPr>
            <w:tcW w:w="3680" w:type="dxa"/>
            <w:vAlign w:val="center"/>
          </w:tcPr>
          <w:p w:rsidR="00002B54" w:rsidRDefault="00002B54"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学校办公室、组织部</w:t>
            </w:r>
          </w:p>
        </w:tc>
      </w:tr>
      <w:tr w:rsidR="00002B54" w:rsidTr="003D5441">
        <w:trPr>
          <w:trHeight w:val="285"/>
          <w:jc w:val="center"/>
        </w:trPr>
        <w:tc>
          <w:tcPr>
            <w:tcW w:w="725" w:type="dxa"/>
            <w:vMerge/>
            <w:vAlign w:val="center"/>
          </w:tcPr>
          <w:p w:rsidR="00002B54" w:rsidRDefault="00002B54"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002B54" w:rsidRDefault="00002B54" w:rsidP="00C443F5">
            <w:pPr>
              <w:adjustRightInd w:val="0"/>
              <w:snapToGrid w:val="0"/>
              <w:jc w:val="center"/>
              <w:rPr>
                <w:rFonts w:ascii="仿宋" w:eastAsia="仿宋" w:hAnsi="仿宋" w:cs="仿宋"/>
                <w:color w:val="000000"/>
                <w:sz w:val="28"/>
                <w:szCs w:val="28"/>
              </w:rPr>
            </w:pPr>
          </w:p>
        </w:tc>
        <w:tc>
          <w:tcPr>
            <w:tcW w:w="8385" w:type="dxa"/>
            <w:vAlign w:val="center"/>
          </w:tcPr>
          <w:p w:rsidR="00002B54" w:rsidRDefault="00002B54"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（3）学校章程及有关规章制度</w:t>
            </w:r>
          </w:p>
        </w:tc>
        <w:tc>
          <w:tcPr>
            <w:tcW w:w="3680" w:type="dxa"/>
            <w:vAlign w:val="center"/>
          </w:tcPr>
          <w:p w:rsidR="00002B54" w:rsidRDefault="00002B54"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办公室、发展规划处</w:t>
            </w:r>
          </w:p>
        </w:tc>
      </w:tr>
      <w:tr w:rsidR="00002B54" w:rsidTr="003D5441">
        <w:trPr>
          <w:trHeight w:val="285"/>
          <w:jc w:val="center"/>
        </w:trPr>
        <w:tc>
          <w:tcPr>
            <w:tcW w:w="725" w:type="dxa"/>
            <w:vMerge/>
            <w:vAlign w:val="center"/>
          </w:tcPr>
          <w:p w:rsidR="00002B54" w:rsidRDefault="00002B54"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002B54" w:rsidRDefault="00002B54" w:rsidP="00C443F5">
            <w:pPr>
              <w:adjustRightInd w:val="0"/>
              <w:snapToGrid w:val="0"/>
              <w:jc w:val="center"/>
              <w:rPr>
                <w:rFonts w:ascii="仿宋" w:eastAsia="仿宋" w:hAnsi="仿宋" w:cs="仿宋"/>
                <w:color w:val="000000"/>
                <w:sz w:val="28"/>
                <w:szCs w:val="28"/>
              </w:rPr>
            </w:pPr>
          </w:p>
        </w:tc>
        <w:tc>
          <w:tcPr>
            <w:tcW w:w="8385" w:type="dxa"/>
            <w:vAlign w:val="center"/>
          </w:tcPr>
          <w:p w:rsidR="00002B54" w:rsidRDefault="00002B54" w:rsidP="00002B54">
            <w:pPr>
              <w:widowControl/>
              <w:adjustRightInd w:val="0"/>
              <w:snapToGrid w:val="0"/>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（4）教职工代表大会相关制度、工作报告</w:t>
            </w:r>
          </w:p>
        </w:tc>
        <w:tc>
          <w:tcPr>
            <w:tcW w:w="3680" w:type="dxa"/>
            <w:vAlign w:val="center"/>
          </w:tcPr>
          <w:p w:rsidR="00002B54" w:rsidRDefault="00002B54" w:rsidP="003D5441">
            <w:pPr>
              <w:widowControl/>
              <w:adjustRightInd w:val="0"/>
              <w:snapToGrid w:val="0"/>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校工会</w:t>
            </w:r>
          </w:p>
        </w:tc>
      </w:tr>
      <w:tr w:rsidR="00002B54" w:rsidTr="003D5441">
        <w:trPr>
          <w:trHeight w:val="285"/>
          <w:jc w:val="center"/>
        </w:trPr>
        <w:tc>
          <w:tcPr>
            <w:tcW w:w="725" w:type="dxa"/>
            <w:vMerge/>
            <w:vAlign w:val="center"/>
          </w:tcPr>
          <w:p w:rsidR="00002B54" w:rsidRDefault="00002B54"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002B54" w:rsidRDefault="00002B54" w:rsidP="00C443F5">
            <w:pPr>
              <w:adjustRightInd w:val="0"/>
              <w:snapToGrid w:val="0"/>
              <w:jc w:val="center"/>
              <w:rPr>
                <w:rFonts w:ascii="仿宋" w:eastAsia="仿宋" w:hAnsi="仿宋" w:cs="仿宋"/>
                <w:color w:val="000000"/>
                <w:sz w:val="28"/>
                <w:szCs w:val="28"/>
              </w:rPr>
            </w:pPr>
          </w:p>
        </w:tc>
        <w:tc>
          <w:tcPr>
            <w:tcW w:w="8385" w:type="dxa"/>
            <w:vAlign w:val="center"/>
          </w:tcPr>
          <w:p w:rsidR="00002B54" w:rsidRDefault="00002B54" w:rsidP="00002B54">
            <w:pPr>
              <w:widowControl/>
              <w:adjustRightInd w:val="0"/>
              <w:snapToGrid w:val="0"/>
              <w:spacing w:before="100" w:beforeAutospacing="1" w:after="100" w:afterAutospacing="1"/>
              <w:jc w:val="left"/>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（5）学术委员会相关制度、年度报告</w:t>
            </w:r>
          </w:p>
        </w:tc>
        <w:tc>
          <w:tcPr>
            <w:tcW w:w="3680" w:type="dxa"/>
            <w:vAlign w:val="center"/>
          </w:tcPr>
          <w:p w:rsidR="00002B54" w:rsidRDefault="00002B54"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科技处、社科处</w:t>
            </w:r>
          </w:p>
        </w:tc>
      </w:tr>
      <w:tr w:rsidR="00002B54" w:rsidTr="003D5441">
        <w:trPr>
          <w:trHeight w:val="285"/>
          <w:jc w:val="center"/>
        </w:trPr>
        <w:tc>
          <w:tcPr>
            <w:tcW w:w="725" w:type="dxa"/>
            <w:vMerge/>
            <w:vAlign w:val="center"/>
          </w:tcPr>
          <w:p w:rsidR="00002B54" w:rsidRDefault="00002B54"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002B54" w:rsidRDefault="00002B54" w:rsidP="00C443F5">
            <w:pPr>
              <w:adjustRightInd w:val="0"/>
              <w:snapToGrid w:val="0"/>
              <w:jc w:val="center"/>
              <w:rPr>
                <w:rFonts w:ascii="仿宋" w:eastAsia="仿宋" w:hAnsi="仿宋" w:cs="仿宋"/>
                <w:color w:val="000000"/>
                <w:sz w:val="28"/>
                <w:szCs w:val="28"/>
              </w:rPr>
            </w:pPr>
          </w:p>
        </w:tc>
        <w:tc>
          <w:tcPr>
            <w:tcW w:w="8385" w:type="dxa"/>
            <w:vAlign w:val="center"/>
          </w:tcPr>
          <w:p w:rsidR="00002B54" w:rsidRDefault="00002B54"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（6）学位、学科信息</w:t>
            </w:r>
          </w:p>
        </w:tc>
        <w:tc>
          <w:tcPr>
            <w:tcW w:w="3680" w:type="dxa"/>
            <w:vAlign w:val="center"/>
          </w:tcPr>
          <w:p w:rsidR="00002B54" w:rsidRDefault="00002B54"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研究生院</w:t>
            </w:r>
          </w:p>
        </w:tc>
      </w:tr>
      <w:tr w:rsidR="00002B54" w:rsidTr="003D5441">
        <w:trPr>
          <w:trHeight w:val="285"/>
          <w:jc w:val="center"/>
        </w:trPr>
        <w:tc>
          <w:tcPr>
            <w:tcW w:w="725" w:type="dxa"/>
            <w:vMerge/>
            <w:vAlign w:val="center"/>
          </w:tcPr>
          <w:p w:rsidR="00002B54" w:rsidRDefault="00002B54"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002B54" w:rsidRDefault="00002B54" w:rsidP="00C443F5">
            <w:pPr>
              <w:adjustRightInd w:val="0"/>
              <w:snapToGrid w:val="0"/>
              <w:jc w:val="center"/>
              <w:rPr>
                <w:rFonts w:ascii="仿宋" w:eastAsia="仿宋" w:hAnsi="仿宋" w:cs="仿宋"/>
                <w:color w:val="000000"/>
                <w:sz w:val="28"/>
                <w:szCs w:val="28"/>
              </w:rPr>
            </w:pPr>
          </w:p>
        </w:tc>
        <w:tc>
          <w:tcPr>
            <w:tcW w:w="8385" w:type="dxa"/>
            <w:vAlign w:val="center"/>
          </w:tcPr>
          <w:p w:rsidR="00002B54" w:rsidRDefault="00002B54"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（7）信息公开年度报告</w:t>
            </w:r>
          </w:p>
        </w:tc>
        <w:tc>
          <w:tcPr>
            <w:tcW w:w="3680" w:type="dxa"/>
            <w:vAlign w:val="center"/>
          </w:tcPr>
          <w:p w:rsidR="00002B54" w:rsidRDefault="00002B54"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办公室</w:t>
            </w:r>
          </w:p>
        </w:tc>
      </w:tr>
      <w:tr w:rsidR="00177373" w:rsidTr="003D5441">
        <w:trPr>
          <w:trHeight w:val="285"/>
          <w:jc w:val="center"/>
        </w:trPr>
        <w:tc>
          <w:tcPr>
            <w:tcW w:w="725" w:type="dxa"/>
            <w:vMerge w:val="restart"/>
            <w:vAlign w:val="center"/>
          </w:tcPr>
          <w:p w:rsidR="00177373" w:rsidRDefault="00177373" w:rsidP="007D355F">
            <w:pPr>
              <w:widowControl/>
              <w:adjustRightInd w:val="0"/>
              <w:snapToGrid w:val="0"/>
              <w:spacing w:before="100" w:beforeAutospacing="1" w:after="100" w:afterAutospacing="1"/>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2</w:t>
            </w:r>
          </w:p>
        </w:tc>
        <w:tc>
          <w:tcPr>
            <w:tcW w:w="2166" w:type="dxa"/>
            <w:vMerge w:val="restart"/>
            <w:vAlign w:val="center"/>
          </w:tcPr>
          <w:p w:rsidR="00177373" w:rsidRDefault="00002B54" w:rsidP="00C443F5">
            <w:pPr>
              <w:widowControl/>
              <w:adjustRightInd w:val="0"/>
              <w:snapToGrid w:val="0"/>
              <w:jc w:val="center"/>
              <w:textAlignment w:val="center"/>
              <w:rPr>
                <w:rFonts w:ascii="仿宋" w:eastAsia="仿宋" w:hAnsi="仿宋" w:cs="仿宋"/>
                <w:color w:val="000000"/>
                <w:kern w:val="0"/>
                <w:sz w:val="28"/>
                <w:szCs w:val="28"/>
                <w:lang w:bidi="ar"/>
              </w:rPr>
            </w:pPr>
            <w:r w:rsidRPr="00002B54">
              <w:rPr>
                <w:rFonts w:ascii="仿宋" w:eastAsia="仿宋" w:hAnsi="仿宋" w:cs="仿宋" w:hint="eastAsia"/>
                <w:color w:val="000000"/>
                <w:kern w:val="0"/>
                <w:sz w:val="28"/>
                <w:szCs w:val="28"/>
                <w:lang w:bidi="ar"/>
              </w:rPr>
              <w:t>党组织决议、决定及执行情况。</w:t>
            </w:r>
          </w:p>
          <w:p w:rsidR="00177373" w:rsidRDefault="00177373" w:rsidP="00002B54">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项）</w:t>
            </w: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8</w:t>
            </w:r>
            <w:r>
              <w:rPr>
                <w:rFonts w:ascii="仿宋" w:eastAsia="仿宋" w:hAnsi="仿宋" w:cs="仿宋" w:hint="eastAsia"/>
                <w:color w:val="000000"/>
                <w:kern w:val="0"/>
                <w:sz w:val="28"/>
                <w:szCs w:val="28"/>
                <w:lang w:bidi="ar"/>
              </w:rPr>
              <w:t>）</w:t>
            </w:r>
            <w:r w:rsidR="00002B54" w:rsidRPr="00002B54">
              <w:rPr>
                <w:rFonts w:ascii="仿宋" w:eastAsia="仿宋" w:hAnsi="仿宋" w:cs="仿宋" w:hint="eastAsia"/>
                <w:color w:val="000000"/>
                <w:kern w:val="0"/>
                <w:sz w:val="28"/>
                <w:szCs w:val="28"/>
                <w:lang w:bidi="ar"/>
              </w:rPr>
              <w:t>执行中央方针政策，上级党组织决议、决定和工作部署等情况；</w:t>
            </w:r>
          </w:p>
        </w:tc>
        <w:tc>
          <w:tcPr>
            <w:tcW w:w="3680" w:type="dxa"/>
            <w:vAlign w:val="center"/>
          </w:tcPr>
          <w:p w:rsidR="00177373" w:rsidRDefault="00177373" w:rsidP="00002B54">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办公室</w:t>
            </w:r>
            <w:r w:rsidR="00002B54">
              <w:rPr>
                <w:rFonts w:ascii="仿宋" w:eastAsia="仿宋" w:hAnsi="仿宋" w:cs="仿宋" w:hint="eastAsia"/>
                <w:color w:val="000000"/>
                <w:kern w:val="0"/>
                <w:sz w:val="28"/>
                <w:szCs w:val="28"/>
                <w:lang w:bidi="ar"/>
              </w:rPr>
              <w:t>、相关部门</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9</w:t>
            </w:r>
            <w:r>
              <w:rPr>
                <w:rFonts w:ascii="仿宋" w:eastAsia="仿宋" w:hAnsi="仿宋" w:cs="仿宋" w:hint="eastAsia"/>
                <w:color w:val="000000"/>
                <w:kern w:val="0"/>
                <w:sz w:val="28"/>
                <w:szCs w:val="28"/>
                <w:lang w:bidi="ar"/>
              </w:rPr>
              <w:t>）</w:t>
            </w:r>
            <w:r w:rsidR="00002B54" w:rsidRPr="00002B54">
              <w:rPr>
                <w:rFonts w:ascii="仿宋" w:eastAsia="仿宋" w:hAnsi="仿宋" w:cs="仿宋" w:hint="eastAsia"/>
                <w:color w:val="000000"/>
                <w:kern w:val="0"/>
                <w:sz w:val="28"/>
                <w:szCs w:val="28"/>
                <w:lang w:bidi="ar"/>
              </w:rPr>
              <w:t>学校重要决策及执行，任期工作目标，年度或阶段性工作部署、任务及落实等情况；</w:t>
            </w:r>
          </w:p>
        </w:tc>
        <w:tc>
          <w:tcPr>
            <w:tcW w:w="3680" w:type="dxa"/>
            <w:vAlign w:val="center"/>
          </w:tcPr>
          <w:p w:rsidR="00177373" w:rsidRDefault="00177373" w:rsidP="00002B54">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办公室</w:t>
            </w:r>
            <w:r w:rsidR="00002B54">
              <w:rPr>
                <w:rFonts w:ascii="仿宋" w:eastAsia="仿宋" w:hAnsi="仿宋" w:cs="仿宋" w:hint="eastAsia"/>
                <w:color w:val="000000"/>
                <w:kern w:val="0"/>
                <w:sz w:val="28"/>
                <w:szCs w:val="28"/>
                <w:lang w:bidi="ar"/>
              </w:rPr>
              <w:t>、相关部门</w:t>
            </w:r>
          </w:p>
        </w:tc>
      </w:tr>
      <w:tr w:rsidR="00177373" w:rsidTr="003D5441">
        <w:trPr>
          <w:trHeight w:val="285"/>
          <w:jc w:val="center"/>
        </w:trPr>
        <w:tc>
          <w:tcPr>
            <w:tcW w:w="725" w:type="dxa"/>
            <w:vMerge w:val="restart"/>
            <w:vAlign w:val="center"/>
          </w:tcPr>
          <w:p w:rsidR="00177373" w:rsidRDefault="00177373" w:rsidP="007D355F">
            <w:pPr>
              <w:widowControl/>
              <w:adjustRightInd w:val="0"/>
              <w:snapToGrid w:val="0"/>
              <w:spacing w:before="100" w:beforeAutospacing="1" w:after="100" w:afterAutospacing="1"/>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3</w:t>
            </w:r>
          </w:p>
        </w:tc>
        <w:tc>
          <w:tcPr>
            <w:tcW w:w="2166" w:type="dxa"/>
            <w:vMerge w:val="restart"/>
            <w:vAlign w:val="center"/>
          </w:tcPr>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重大改革发展与决策信息</w:t>
            </w:r>
          </w:p>
          <w:p w:rsidR="00177373" w:rsidRDefault="00177373" w:rsidP="00C44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（3项）</w:t>
            </w: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r w:rsidR="00002B54">
              <w:rPr>
                <w:rFonts w:ascii="仿宋" w:eastAsia="仿宋" w:hAnsi="仿宋" w:cs="仿宋" w:hint="eastAsia"/>
                <w:color w:val="000000"/>
                <w:kern w:val="0"/>
                <w:sz w:val="28"/>
                <w:szCs w:val="28"/>
                <w:lang w:bidi="ar"/>
              </w:rPr>
              <w:t>0</w:t>
            </w:r>
            <w:r>
              <w:rPr>
                <w:rFonts w:ascii="仿宋" w:eastAsia="仿宋" w:hAnsi="仿宋" w:cs="仿宋" w:hint="eastAsia"/>
                <w:color w:val="000000"/>
                <w:kern w:val="0"/>
                <w:sz w:val="28"/>
                <w:szCs w:val="28"/>
                <w:lang w:bidi="ar"/>
              </w:rPr>
              <w:t>）学校改革发展规划</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发展规划处</w:t>
            </w:r>
          </w:p>
        </w:tc>
      </w:tr>
      <w:tr w:rsidR="00177373" w:rsidTr="003D5441">
        <w:trPr>
          <w:trHeight w:val="414"/>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ind w:left="840" w:hangingChars="300" w:hanging="840"/>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r w:rsidR="00002B54">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w:t>
            </w:r>
            <w:r>
              <w:rPr>
                <w:rFonts w:ascii="仿宋" w:eastAsia="仿宋" w:hAnsi="仿宋" w:cs="仿宋" w:hint="eastAsia"/>
                <w:color w:val="000000"/>
                <w:spacing w:val="-4"/>
                <w:kern w:val="0"/>
                <w:sz w:val="28"/>
                <w:szCs w:val="28"/>
                <w:lang w:bidi="ar"/>
              </w:rPr>
              <w:t>教育教学、科学研究方面的重大项目、重点工程、重要改革事项</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教务处、科技处</w:t>
            </w:r>
            <w:r w:rsidR="007D355F">
              <w:rPr>
                <w:rFonts w:ascii="仿宋" w:eastAsia="仿宋" w:hAnsi="仿宋" w:cs="仿宋" w:hint="eastAsia"/>
                <w:color w:val="000000"/>
                <w:kern w:val="0"/>
                <w:sz w:val="28"/>
                <w:szCs w:val="28"/>
                <w:lang w:bidi="ar"/>
              </w:rPr>
              <w:t>、社科处</w:t>
            </w:r>
          </w:p>
        </w:tc>
      </w:tr>
      <w:tr w:rsidR="00177373" w:rsidTr="003D5441">
        <w:trPr>
          <w:trHeight w:val="53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ind w:left="840" w:hangingChars="300" w:hanging="840"/>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12</w:t>
            </w:r>
            <w:r>
              <w:rPr>
                <w:rFonts w:ascii="仿宋" w:eastAsia="仿宋" w:hAnsi="仿宋" w:cs="仿宋" w:hint="eastAsia"/>
                <w:color w:val="000000"/>
                <w:kern w:val="0"/>
                <w:sz w:val="28"/>
                <w:szCs w:val="28"/>
                <w:lang w:bidi="ar"/>
              </w:rPr>
              <w:t>）</w:t>
            </w:r>
            <w:r>
              <w:rPr>
                <w:rFonts w:ascii="仿宋" w:eastAsia="仿宋" w:hAnsi="仿宋" w:cs="仿宋" w:hint="eastAsia"/>
                <w:color w:val="000000"/>
                <w:spacing w:val="-4"/>
                <w:kern w:val="0"/>
                <w:sz w:val="28"/>
                <w:szCs w:val="28"/>
                <w:lang w:bidi="ar"/>
              </w:rPr>
              <w:t>校园建设、内部管理方面的重大项目、重点工程、重要改革事项</w:t>
            </w:r>
          </w:p>
        </w:tc>
        <w:tc>
          <w:tcPr>
            <w:tcW w:w="3680" w:type="dxa"/>
            <w:vAlign w:val="center"/>
          </w:tcPr>
          <w:p w:rsidR="00177373" w:rsidRDefault="00177373" w:rsidP="008009D6">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办公室</w:t>
            </w:r>
            <w:r w:rsidR="007D355F">
              <w:rPr>
                <w:rFonts w:ascii="仿宋" w:eastAsia="仿宋" w:hAnsi="仿宋" w:cs="仿宋" w:hint="eastAsia"/>
                <w:color w:val="000000"/>
                <w:kern w:val="0"/>
                <w:sz w:val="28"/>
                <w:szCs w:val="28"/>
                <w:lang w:bidi="ar"/>
              </w:rPr>
              <w:t>、</w:t>
            </w:r>
            <w:r w:rsidR="008009D6" w:rsidRPr="003D5441">
              <w:rPr>
                <w:rFonts w:ascii="仿宋" w:eastAsia="仿宋" w:hAnsi="仿宋" w:cs="仿宋" w:hint="eastAsia"/>
                <w:kern w:val="0"/>
                <w:sz w:val="28"/>
                <w:szCs w:val="28"/>
                <w:lang w:bidi="ar"/>
              </w:rPr>
              <w:t>国资处</w:t>
            </w:r>
            <w:r w:rsidR="007D355F" w:rsidRPr="003D5441">
              <w:rPr>
                <w:rFonts w:ascii="仿宋" w:eastAsia="仿宋" w:hAnsi="仿宋" w:cs="仿宋" w:hint="eastAsia"/>
                <w:kern w:val="0"/>
                <w:sz w:val="28"/>
                <w:szCs w:val="28"/>
                <w:lang w:bidi="ar"/>
              </w:rPr>
              <w:t>、</w:t>
            </w:r>
            <w:r w:rsidR="007D355F">
              <w:rPr>
                <w:rFonts w:ascii="仿宋" w:eastAsia="仿宋" w:hAnsi="仿宋" w:cs="仿宋" w:hint="eastAsia"/>
                <w:color w:val="000000"/>
                <w:kern w:val="0"/>
                <w:sz w:val="28"/>
                <w:szCs w:val="28"/>
                <w:lang w:bidi="ar"/>
              </w:rPr>
              <w:t>基建处</w:t>
            </w:r>
          </w:p>
        </w:tc>
      </w:tr>
      <w:tr w:rsidR="00177373" w:rsidTr="003D5441">
        <w:trPr>
          <w:trHeight w:val="285"/>
          <w:jc w:val="center"/>
        </w:trPr>
        <w:tc>
          <w:tcPr>
            <w:tcW w:w="725" w:type="dxa"/>
            <w:vMerge w:val="restart"/>
            <w:vAlign w:val="center"/>
          </w:tcPr>
          <w:p w:rsidR="00177373" w:rsidRDefault="00177373" w:rsidP="007D355F">
            <w:pPr>
              <w:widowControl/>
              <w:adjustRightInd w:val="0"/>
              <w:snapToGrid w:val="0"/>
              <w:spacing w:before="100" w:beforeAutospacing="1" w:after="100" w:afterAutospacing="1"/>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4</w:t>
            </w:r>
          </w:p>
        </w:tc>
        <w:tc>
          <w:tcPr>
            <w:tcW w:w="2166" w:type="dxa"/>
            <w:vMerge w:val="restart"/>
            <w:vAlign w:val="center"/>
          </w:tcPr>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招生考试</w:t>
            </w:r>
          </w:p>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管理信息</w:t>
            </w:r>
          </w:p>
          <w:p w:rsidR="00177373" w:rsidRDefault="00177373" w:rsidP="00C44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（6项）</w:t>
            </w: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r w:rsidR="00002B54">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w:t>
            </w:r>
            <w:r w:rsidR="008009D6">
              <w:rPr>
                <w:rFonts w:ascii="仿宋" w:eastAsia="仿宋" w:hAnsi="仿宋" w:cs="仿宋" w:hint="eastAsia"/>
                <w:color w:val="000000"/>
                <w:kern w:val="0"/>
                <w:sz w:val="28"/>
                <w:szCs w:val="28"/>
                <w:lang w:bidi="ar"/>
              </w:rPr>
              <w:t>本科生</w:t>
            </w:r>
            <w:r>
              <w:rPr>
                <w:rFonts w:ascii="仿宋" w:eastAsia="仿宋" w:hAnsi="仿宋" w:cs="仿宋" w:hint="eastAsia"/>
                <w:color w:val="000000"/>
                <w:kern w:val="0"/>
                <w:sz w:val="28"/>
                <w:szCs w:val="28"/>
                <w:lang w:bidi="ar"/>
              </w:rPr>
              <w:t>招生章程、计划、政策、成绩及录取结果</w:t>
            </w:r>
          </w:p>
        </w:tc>
        <w:tc>
          <w:tcPr>
            <w:tcW w:w="3680" w:type="dxa"/>
            <w:vAlign w:val="center"/>
          </w:tcPr>
          <w:p w:rsidR="00177373" w:rsidRDefault="007D355F" w:rsidP="0072288D">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招生</w:t>
            </w:r>
            <w:r w:rsidR="0072288D">
              <w:rPr>
                <w:rFonts w:ascii="仿宋" w:eastAsia="仿宋" w:hAnsi="仿宋" w:cs="仿宋" w:hint="eastAsia"/>
                <w:color w:val="000000"/>
                <w:kern w:val="0"/>
                <w:sz w:val="28"/>
                <w:szCs w:val="28"/>
                <w:lang w:bidi="ar"/>
              </w:rPr>
              <w:t>工作办公室</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ind w:left="840" w:hangingChars="300" w:hanging="840"/>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r w:rsidR="00002B54">
              <w:rPr>
                <w:rFonts w:ascii="仿宋" w:eastAsia="仿宋" w:hAnsi="仿宋" w:cs="仿宋" w:hint="eastAsia"/>
                <w:color w:val="000000"/>
                <w:kern w:val="0"/>
                <w:sz w:val="28"/>
                <w:szCs w:val="28"/>
                <w:lang w:bidi="ar"/>
              </w:rPr>
              <w:t>4</w:t>
            </w:r>
            <w:r>
              <w:rPr>
                <w:rFonts w:ascii="仿宋" w:eastAsia="仿宋" w:hAnsi="仿宋" w:cs="仿宋" w:hint="eastAsia"/>
                <w:color w:val="000000"/>
                <w:kern w:val="0"/>
                <w:sz w:val="28"/>
                <w:szCs w:val="28"/>
                <w:lang w:bidi="ar"/>
              </w:rPr>
              <w:t>）</w:t>
            </w:r>
            <w:r>
              <w:rPr>
                <w:rFonts w:ascii="仿宋" w:eastAsia="仿宋" w:hAnsi="仿宋" w:cs="仿宋" w:hint="eastAsia"/>
                <w:color w:val="000000"/>
                <w:spacing w:val="-4"/>
                <w:kern w:val="0"/>
                <w:sz w:val="28"/>
                <w:szCs w:val="28"/>
                <w:lang w:bidi="ar"/>
              </w:rPr>
              <w:t>招生咨询及申诉渠道，新生复查期间有关举报、调查及处理结果</w:t>
            </w:r>
          </w:p>
        </w:tc>
        <w:tc>
          <w:tcPr>
            <w:tcW w:w="3680" w:type="dxa"/>
            <w:vAlign w:val="center"/>
          </w:tcPr>
          <w:p w:rsidR="00177373" w:rsidRDefault="0072288D"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sidRPr="0072288D">
              <w:rPr>
                <w:rFonts w:ascii="仿宋" w:eastAsia="仿宋" w:hAnsi="仿宋" w:cs="仿宋" w:hint="eastAsia"/>
                <w:color w:val="000000"/>
                <w:kern w:val="0"/>
                <w:sz w:val="28"/>
                <w:szCs w:val="28"/>
                <w:lang w:bidi="ar"/>
              </w:rPr>
              <w:t>招生工作办公室</w:t>
            </w:r>
            <w:r w:rsidR="008009D6">
              <w:rPr>
                <w:rFonts w:ascii="仿宋" w:eastAsia="仿宋" w:hAnsi="仿宋" w:cs="仿宋" w:hint="eastAsia"/>
                <w:color w:val="000000"/>
                <w:kern w:val="0"/>
                <w:sz w:val="28"/>
                <w:szCs w:val="28"/>
                <w:lang w:bidi="ar"/>
              </w:rPr>
              <w:t>、研究生院</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ind w:left="840" w:hangingChars="300" w:hanging="840"/>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r w:rsidR="00002B54">
              <w:rPr>
                <w:rFonts w:ascii="仿宋" w:eastAsia="仿宋" w:hAnsi="仿宋" w:cs="仿宋" w:hint="eastAsia"/>
                <w:color w:val="000000"/>
                <w:kern w:val="0"/>
                <w:sz w:val="28"/>
                <w:szCs w:val="28"/>
                <w:lang w:bidi="ar"/>
              </w:rPr>
              <w:t>5</w:t>
            </w:r>
            <w:r>
              <w:rPr>
                <w:rFonts w:ascii="仿宋" w:eastAsia="仿宋" w:hAnsi="仿宋" w:cs="仿宋" w:hint="eastAsia"/>
                <w:color w:val="000000"/>
                <w:kern w:val="0"/>
                <w:sz w:val="28"/>
                <w:szCs w:val="28"/>
                <w:lang w:bidi="ar"/>
              </w:rPr>
              <w:t>）保送、自主选拔录取、高水平运动员和艺术特长生等特殊类型招生入选考生资格及测试结果</w:t>
            </w:r>
          </w:p>
        </w:tc>
        <w:tc>
          <w:tcPr>
            <w:tcW w:w="3680" w:type="dxa"/>
            <w:vAlign w:val="center"/>
          </w:tcPr>
          <w:p w:rsidR="00177373" w:rsidRDefault="0072288D" w:rsidP="008009D6">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sidRPr="0072288D">
              <w:rPr>
                <w:rFonts w:ascii="仿宋" w:eastAsia="仿宋" w:hAnsi="仿宋" w:cs="仿宋" w:hint="eastAsia"/>
                <w:color w:val="000000"/>
                <w:kern w:val="0"/>
                <w:sz w:val="28"/>
                <w:szCs w:val="28"/>
                <w:lang w:bidi="ar"/>
              </w:rPr>
              <w:t>招生工作办公室</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16</w:t>
            </w:r>
            <w:r>
              <w:rPr>
                <w:rFonts w:ascii="仿宋" w:eastAsia="仿宋" w:hAnsi="仿宋" w:cs="仿宋" w:hint="eastAsia"/>
                <w:color w:val="000000"/>
                <w:kern w:val="0"/>
                <w:sz w:val="28"/>
                <w:szCs w:val="28"/>
                <w:lang w:bidi="ar"/>
              </w:rPr>
              <w:t>）考生个人录取信息查询渠道和方法</w:t>
            </w:r>
          </w:p>
        </w:tc>
        <w:tc>
          <w:tcPr>
            <w:tcW w:w="3680" w:type="dxa"/>
            <w:vAlign w:val="center"/>
          </w:tcPr>
          <w:p w:rsidR="00177373" w:rsidRDefault="0072288D"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sidRPr="0072288D">
              <w:rPr>
                <w:rFonts w:ascii="仿宋" w:eastAsia="仿宋" w:hAnsi="仿宋" w:cs="仿宋" w:hint="eastAsia"/>
                <w:color w:val="000000"/>
                <w:kern w:val="0"/>
                <w:sz w:val="28"/>
                <w:szCs w:val="28"/>
                <w:lang w:bidi="ar"/>
              </w:rPr>
              <w:t>招生工作办公室</w:t>
            </w:r>
            <w:r w:rsidR="008009D6">
              <w:rPr>
                <w:rFonts w:ascii="仿宋" w:eastAsia="仿宋" w:hAnsi="仿宋" w:cs="仿宋" w:hint="eastAsia"/>
                <w:color w:val="000000"/>
                <w:kern w:val="0"/>
                <w:sz w:val="28"/>
                <w:szCs w:val="28"/>
                <w:lang w:bidi="ar"/>
              </w:rPr>
              <w:t>、研究生院</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ind w:left="840" w:hangingChars="300" w:hanging="840"/>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17</w:t>
            </w:r>
            <w:r>
              <w:rPr>
                <w:rFonts w:ascii="仿宋" w:eastAsia="仿宋" w:hAnsi="仿宋" w:cs="仿宋" w:hint="eastAsia"/>
                <w:color w:val="000000"/>
                <w:kern w:val="0"/>
                <w:sz w:val="28"/>
                <w:szCs w:val="28"/>
                <w:lang w:bidi="ar"/>
              </w:rPr>
              <w:t>）研究生招生简章、招生专业目录、复试录取办法、复试成绩、录取名单</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研究生院</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18</w:t>
            </w:r>
            <w:r>
              <w:rPr>
                <w:rFonts w:ascii="仿宋" w:eastAsia="仿宋" w:hAnsi="仿宋" w:cs="仿宋" w:hint="eastAsia"/>
                <w:color w:val="000000"/>
                <w:kern w:val="0"/>
                <w:sz w:val="28"/>
                <w:szCs w:val="28"/>
                <w:lang w:bidi="ar"/>
              </w:rPr>
              <w:t>）各类考试规定、考试纪律</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教务处、学生处、研究生院</w:t>
            </w:r>
          </w:p>
        </w:tc>
      </w:tr>
      <w:tr w:rsidR="00177373" w:rsidTr="003D5441">
        <w:trPr>
          <w:trHeight w:val="285"/>
          <w:jc w:val="center"/>
        </w:trPr>
        <w:tc>
          <w:tcPr>
            <w:tcW w:w="725" w:type="dxa"/>
            <w:vMerge w:val="restart"/>
            <w:vAlign w:val="center"/>
          </w:tcPr>
          <w:p w:rsidR="00177373" w:rsidRDefault="00177373" w:rsidP="007D355F">
            <w:pPr>
              <w:widowControl/>
              <w:adjustRightInd w:val="0"/>
              <w:snapToGrid w:val="0"/>
              <w:spacing w:before="100" w:beforeAutospacing="1" w:after="100" w:afterAutospacing="1"/>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5</w:t>
            </w:r>
          </w:p>
        </w:tc>
        <w:tc>
          <w:tcPr>
            <w:tcW w:w="2166" w:type="dxa"/>
            <w:vMerge w:val="restart"/>
            <w:vAlign w:val="center"/>
          </w:tcPr>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财务与资产</w:t>
            </w:r>
          </w:p>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管理信息</w:t>
            </w:r>
          </w:p>
          <w:p w:rsidR="00177373" w:rsidRDefault="00177373" w:rsidP="00C44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（9项）</w:t>
            </w: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19</w:t>
            </w:r>
            <w:r>
              <w:rPr>
                <w:rFonts w:ascii="仿宋" w:eastAsia="仿宋" w:hAnsi="仿宋" w:cs="仿宋" w:hint="eastAsia"/>
                <w:color w:val="000000"/>
                <w:kern w:val="0"/>
                <w:sz w:val="28"/>
                <w:szCs w:val="28"/>
                <w:lang w:bidi="ar"/>
              </w:rPr>
              <w:t>）财务资产管理制度、年度经费预算和决算、重大财务计划</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财务处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r w:rsidR="00002B54">
              <w:rPr>
                <w:rFonts w:ascii="仿宋" w:eastAsia="仿宋" w:hAnsi="仿宋" w:cs="仿宋" w:hint="eastAsia"/>
                <w:color w:val="000000"/>
                <w:kern w:val="0"/>
                <w:sz w:val="28"/>
                <w:szCs w:val="28"/>
                <w:lang w:bidi="ar"/>
              </w:rPr>
              <w:t>0</w:t>
            </w:r>
            <w:r>
              <w:rPr>
                <w:rFonts w:ascii="仿宋" w:eastAsia="仿宋" w:hAnsi="仿宋" w:cs="仿宋" w:hint="eastAsia"/>
                <w:color w:val="000000"/>
                <w:kern w:val="0"/>
                <w:sz w:val="28"/>
                <w:szCs w:val="28"/>
                <w:lang w:bidi="ar"/>
              </w:rPr>
              <w:t>）大额资金使用情况</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财务处、国资处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r w:rsidR="00002B54">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）“三公”经费使用及公务车辆运行情况</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财务处、国资处、</w:t>
            </w:r>
            <w:r w:rsidR="007D355F">
              <w:rPr>
                <w:rFonts w:ascii="仿宋" w:eastAsia="仿宋" w:hAnsi="仿宋" w:cs="仿宋" w:hint="eastAsia"/>
                <w:color w:val="000000"/>
                <w:kern w:val="0"/>
                <w:sz w:val="28"/>
                <w:szCs w:val="28"/>
                <w:lang w:bidi="ar"/>
              </w:rPr>
              <w:t>后勤管理处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r w:rsidR="00002B54">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）科研经费管理使用情况</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科技处</w:t>
            </w:r>
            <w:r w:rsidR="007D355F">
              <w:rPr>
                <w:rFonts w:ascii="仿宋" w:eastAsia="仿宋" w:hAnsi="仿宋" w:cs="仿宋" w:hint="eastAsia"/>
                <w:color w:val="000000"/>
                <w:kern w:val="0"/>
                <w:sz w:val="28"/>
                <w:szCs w:val="28"/>
                <w:lang w:bidi="ar"/>
              </w:rPr>
              <w:t>、社科处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r w:rsidR="00002B54">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）社会（个人）捐赠收支情况</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校友</w:t>
            </w:r>
            <w:r w:rsidR="007D355F">
              <w:rPr>
                <w:rFonts w:ascii="仿宋" w:eastAsia="仿宋" w:hAnsi="仿宋" w:cs="仿宋" w:hint="eastAsia"/>
                <w:color w:val="000000"/>
                <w:kern w:val="0"/>
                <w:sz w:val="28"/>
                <w:szCs w:val="28"/>
                <w:lang w:bidi="ar"/>
              </w:rPr>
              <w:t>办</w:t>
            </w:r>
            <w:r>
              <w:rPr>
                <w:rFonts w:ascii="仿宋" w:eastAsia="仿宋" w:hAnsi="仿宋" w:cs="仿宋" w:hint="eastAsia"/>
                <w:color w:val="000000"/>
                <w:kern w:val="0"/>
                <w:sz w:val="28"/>
                <w:szCs w:val="28"/>
                <w:lang w:bidi="ar"/>
              </w:rPr>
              <w:t>、国资处、财务处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r w:rsidR="00002B54">
              <w:rPr>
                <w:rFonts w:ascii="仿宋" w:eastAsia="仿宋" w:hAnsi="仿宋" w:cs="仿宋" w:hint="eastAsia"/>
                <w:color w:val="000000"/>
                <w:kern w:val="0"/>
                <w:sz w:val="28"/>
                <w:szCs w:val="28"/>
                <w:lang w:bidi="ar"/>
              </w:rPr>
              <w:t>4</w:t>
            </w:r>
            <w:r>
              <w:rPr>
                <w:rFonts w:ascii="仿宋" w:eastAsia="仿宋" w:hAnsi="仿宋" w:cs="仿宋" w:hint="eastAsia"/>
                <w:color w:val="000000"/>
                <w:kern w:val="0"/>
                <w:sz w:val="28"/>
                <w:szCs w:val="28"/>
                <w:lang w:bidi="ar"/>
              </w:rPr>
              <w:t>）货物、工程、服务的政府采购和重大基建工程的招投标</w:t>
            </w:r>
          </w:p>
        </w:tc>
        <w:tc>
          <w:tcPr>
            <w:tcW w:w="3680" w:type="dxa"/>
            <w:vAlign w:val="center"/>
          </w:tcPr>
          <w:p w:rsidR="00177373" w:rsidRDefault="007D355F"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财务处、</w:t>
            </w:r>
            <w:r w:rsidR="00177373">
              <w:rPr>
                <w:rFonts w:ascii="仿宋" w:eastAsia="仿宋" w:hAnsi="仿宋" w:cs="仿宋" w:hint="eastAsia"/>
                <w:color w:val="000000"/>
                <w:kern w:val="0"/>
                <w:sz w:val="28"/>
                <w:szCs w:val="28"/>
                <w:lang w:bidi="ar"/>
              </w:rPr>
              <w:t>国资处、基建处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r w:rsidR="00002B54">
              <w:rPr>
                <w:rFonts w:ascii="仿宋" w:eastAsia="仿宋" w:hAnsi="仿宋" w:cs="仿宋" w:hint="eastAsia"/>
                <w:color w:val="000000"/>
                <w:kern w:val="0"/>
                <w:sz w:val="28"/>
                <w:szCs w:val="28"/>
                <w:lang w:bidi="ar"/>
              </w:rPr>
              <w:t>5</w:t>
            </w:r>
            <w:r>
              <w:rPr>
                <w:rFonts w:ascii="仿宋" w:eastAsia="仿宋" w:hAnsi="仿宋" w:cs="仿宋" w:hint="eastAsia"/>
                <w:color w:val="000000"/>
                <w:kern w:val="0"/>
                <w:sz w:val="28"/>
                <w:szCs w:val="28"/>
                <w:lang w:bidi="ar"/>
              </w:rPr>
              <w:t>）校办企业资产、负债、国有资产保值增值</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国资处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26</w:t>
            </w:r>
            <w:r>
              <w:rPr>
                <w:rFonts w:ascii="仿宋" w:eastAsia="仿宋" w:hAnsi="仿宋" w:cs="仿宋" w:hint="eastAsia"/>
                <w:color w:val="000000"/>
                <w:kern w:val="0"/>
                <w:sz w:val="28"/>
                <w:szCs w:val="28"/>
                <w:lang w:bidi="ar"/>
              </w:rPr>
              <w:t>）收费项目、收费依据、收费标准</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财务处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27</w:t>
            </w:r>
            <w:r>
              <w:rPr>
                <w:rFonts w:ascii="仿宋" w:eastAsia="仿宋" w:hAnsi="仿宋" w:cs="仿宋" w:hint="eastAsia"/>
                <w:color w:val="000000"/>
                <w:kern w:val="0"/>
                <w:sz w:val="28"/>
                <w:szCs w:val="28"/>
                <w:lang w:bidi="ar"/>
              </w:rPr>
              <w:t>）投诉方式信息</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财务处</w:t>
            </w:r>
          </w:p>
        </w:tc>
      </w:tr>
      <w:tr w:rsidR="00177373" w:rsidTr="003D5441">
        <w:trPr>
          <w:trHeight w:val="285"/>
          <w:jc w:val="center"/>
        </w:trPr>
        <w:tc>
          <w:tcPr>
            <w:tcW w:w="725" w:type="dxa"/>
            <w:vMerge w:val="restart"/>
            <w:vAlign w:val="center"/>
          </w:tcPr>
          <w:p w:rsidR="00EC2F0C" w:rsidRPr="00EC2F0C" w:rsidRDefault="00EC2F0C" w:rsidP="00EC2F0C">
            <w:pPr>
              <w:widowControl/>
              <w:adjustRightInd w:val="0"/>
              <w:snapToGrid w:val="0"/>
              <w:spacing w:before="100" w:beforeAutospacing="1" w:after="100" w:afterAutospacing="1"/>
              <w:jc w:val="center"/>
              <w:textAlignment w:val="center"/>
              <w:rPr>
                <w:rFonts w:ascii="仿宋" w:eastAsia="仿宋" w:hAnsi="仿宋" w:cs="仿宋"/>
                <w:color w:val="000000"/>
                <w:kern w:val="0"/>
                <w:sz w:val="8"/>
                <w:szCs w:val="32"/>
                <w:lang w:bidi="ar"/>
              </w:rPr>
            </w:pPr>
          </w:p>
          <w:p w:rsidR="00EC2F0C" w:rsidRPr="0078574A" w:rsidRDefault="0078574A" w:rsidP="0078574A">
            <w:pPr>
              <w:widowControl/>
              <w:adjustRightInd w:val="0"/>
              <w:snapToGrid w:val="0"/>
              <w:spacing w:before="100" w:beforeAutospacing="1" w:after="100" w:afterAutospacing="1"/>
              <w:jc w:val="center"/>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6</w:t>
            </w:r>
          </w:p>
        </w:tc>
        <w:tc>
          <w:tcPr>
            <w:tcW w:w="2166" w:type="dxa"/>
            <w:vMerge w:val="restart"/>
            <w:vAlign w:val="center"/>
          </w:tcPr>
          <w:p w:rsidR="00EC2F0C" w:rsidRDefault="00EC2F0C" w:rsidP="00EC2F0C">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人事师资信息</w:t>
            </w:r>
          </w:p>
          <w:p w:rsidR="00EC2F0C" w:rsidRDefault="00EC2F0C" w:rsidP="00002B54">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（6项）</w:t>
            </w: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28</w:t>
            </w:r>
            <w:r>
              <w:rPr>
                <w:rFonts w:ascii="仿宋" w:eastAsia="仿宋" w:hAnsi="仿宋" w:cs="仿宋" w:hint="eastAsia"/>
                <w:color w:val="000000"/>
                <w:kern w:val="0"/>
                <w:sz w:val="28"/>
                <w:szCs w:val="28"/>
                <w:lang w:bidi="ar"/>
              </w:rPr>
              <w:t>）岗位设置管理信息</w:t>
            </w:r>
          </w:p>
        </w:tc>
        <w:tc>
          <w:tcPr>
            <w:tcW w:w="3680" w:type="dxa"/>
            <w:vAlign w:val="center"/>
          </w:tcPr>
          <w:p w:rsidR="00177373" w:rsidRDefault="007D355F"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人力资源处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29</w:t>
            </w:r>
            <w:r>
              <w:rPr>
                <w:rFonts w:ascii="仿宋" w:eastAsia="仿宋" w:hAnsi="仿宋" w:cs="仿宋" w:hint="eastAsia"/>
                <w:color w:val="000000"/>
                <w:kern w:val="0"/>
                <w:sz w:val="28"/>
                <w:szCs w:val="28"/>
                <w:lang w:bidi="ar"/>
              </w:rPr>
              <w:t>）岗位聘用、考核、奖惩办法及结果</w:t>
            </w:r>
          </w:p>
        </w:tc>
        <w:tc>
          <w:tcPr>
            <w:tcW w:w="3680" w:type="dxa"/>
            <w:vAlign w:val="center"/>
          </w:tcPr>
          <w:p w:rsidR="00177373" w:rsidRDefault="007D355F"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人力资源处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r w:rsidR="00002B54">
              <w:rPr>
                <w:rFonts w:ascii="仿宋" w:eastAsia="仿宋" w:hAnsi="仿宋" w:cs="仿宋" w:hint="eastAsia"/>
                <w:color w:val="000000"/>
                <w:kern w:val="0"/>
                <w:sz w:val="28"/>
                <w:szCs w:val="28"/>
                <w:lang w:bidi="ar"/>
              </w:rPr>
              <w:t>0</w:t>
            </w:r>
            <w:r>
              <w:rPr>
                <w:rFonts w:ascii="仿宋" w:eastAsia="仿宋" w:hAnsi="仿宋" w:cs="仿宋" w:hint="eastAsia"/>
                <w:color w:val="000000"/>
                <w:kern w:val="0"/>
                <w:sz w:val="28"/>
                <w:szCs w:val="28"/>
                <w:lang w:bidi="ar"/>
              </w:rPr>
              <w:t>）薪酬制度及调整方案</w:t>
            </w:r>
          </w:p>
        </w:tc>
        <w:tc>
          <w:tcPr>
            <w:tcW w:w="3680" w:type="dxa"/>
            <w:vAlign w:val="center"/>
          </w:tcPr>
          <w:p w:rsidR="00177373" w:rsidRDefault="007D355F"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人力资源处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ind w:left="840" w:hangingChars="300" w:hanging="840"/>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r w:rsidR="00002B54">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）校级领导干部社会兼职及因公出国（境）情况，处级干部因公出国（境）情况</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组织部、国际交流处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r w:rsidR="00002B54">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）各级（科级以上）干部任免、人员招聘事项</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组织部、</w:t>
            </w:r>
            <w:r w:rsidR="007D355F">
              <w:rPr>
                <w:rFonts w:ascii="仿宋" w:eastAsia="仿宋" w:hAnsi="仿宋" w:cs="仿宋" w:hint="eastAsia"/>
                <w:color w:val="000000"/>
                <w:kern w:val="0"/>
                <w:sz w:val="28"/>
                <w:szCs w:val="28"/>
                <w:lang w:bidi="ar"/>
              </w:rPr>
              <w:t>人力资源处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r w:rsidR="00002B54">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）教职工争议解决办法</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校工会</w:t>
            </w:r>
          </w:p>
        </w:tc>
      </w:tr>
      <w:tr w:rsidR="00177373" w:rsidTr="003D5441">
        <w:trPr>
          <w:trHeight w:val="285"/>
          <w:jc w:val="center"/>
        </w:trPr>
        <w:tc>
          <w:tcPr>
            <w:tcW w:w="725" w:type="dxa"/>
            <w:vMerge w:val="restart"/>
            <w:vAlign w:val="center"/>
          </w:tcPr>
          <w:p w:rsidR="00177373" w:rsidRDefault="00177373" w:rsidP="007D355F">
            <w:pPr>
              <w:widowControl/>
              <w:adjustRightInd w:val="0"/>
              <w:snapToGrid w:val="0"/>
              <w:spacing w:before="100" w:beforeAutospacing="1" w:after="100" w:afterAutospacing="1"/>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lastRenderedPageBreak/>
              <w:t>7</w:t>
            </w:r>
          </w:p>
        </w:tc>
        <w:tc>
          <w:tcPr>
            <w:tcW w:w="2166" w:type="dxa"/>
            <w:vMerge w:val="restart"/>
            <w:vAlign w:val="center"/>
          </w:tcPr>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教学与科研信息</w:t>
            </w:r>
          </w:p>
          <w:p w:rsidR="00177373" w:rsidRDefault="00177373" w:rsidP="00C44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（8项）</w:t>
            </w: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r w:rsidR="00002B54">
              <w:rPr>
                <w:rFonts w:ascii="仿宋" w:eastAsia="仿宋" w:hAnsi="仿宋" w:cs="仿宋" w:hint="eastAsia"/>
                <w:color w:val="000000"/>
                <w:kern w:val="0"/>
                <w:sz w:val="28"/>
                <w:szCs w:val="28"/>
                <w:lang w:bidi="ar"/>
              </w:rPr>
              <w:t>4</w:t>
            </w:r>
            <w:r>
              <w:rPr>
                <w:rFonts w:ascii="仿宋" w:eastAsia="仿宋" w:hAnsi="仿宋" w:cs="仿宋" w:hint="eastAsia"/>
                <w:color w:val="000000"/>
                <w:kern w:val="0"/>
                <w:sz w:val="28"/>
                <w:szCs w:val="28"/>
                <w:lang w:bidi="ar"/>
              </w:rPr>
              <w:t>）学科、专业和课程设置、调整与建设情况</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教务处、研究生院</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r w:rsidR="00002B54">
              <w:rPr>
                <w:rFonts w:ascii="仿宋" w:eastAsia="仿宋" w:hAnsi="仿宋" w:cs="仿宋" w:hint="eastAsia"/>
                <w:color w:val="000000"/>
                <w:kern w:val="0"/>
                <w:sz w:val="28"/>
                <w:szCs w:val="28"/>
                <w:lang w:bidi="ar"/>
              </w:rPr>
              <w:t>5</w:t>
            </w:r>
            <w:r>
              <w:rPr>
                <w:rFonts w:ascii="仿宋" w:eastAsia="仿宋" w:hAnsi="仿宋" w:cs="仿宋" w:hint="eastAsia"/>
                <w:color w:val="000000"/>
                <w:kern w:val="0"/>
                <w:sz w:val="28"/>
                <w:szCs w:val="28"/>
                <w:lang w:bidi="ar"/>
              </w:rPr>
              <w:t>）本科生占全日制在校生总数的比例、教师数量及结构</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教务处、</w:t>
            </w:r>
            <w:r w:rsidR="007D355F">
              <w:rPr>
                <w:rFonts w:ascii="仿宋" w:eastAsia="仿宋" w:hAnsi="仿宋" w:cs="仿宋" w:hint="eastAsia"/>
                <w:color w:val="000000"/>
                <w:kern w:val="0"/>
                <w:sz w:val="28"/>
                <w:szCs w:val="28"/>
                <w:lang w:bidi="ar"/>
              </w:rPr>
              <w:t>人力资源处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ind w:left="840" w:hangingChars="300" w:hanging="840"/>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36</w:t>
            </w:r>
            <w:r>
              <w:rPr>
                <w:rFonts w:ascii="仿宋" w:eastAsia="仿宋" w:hAnsi="仿宋" w:cs="仿宋" w:hint="eastAsia"/>
                <w:color w:val="000000"/>
                <w:kern w:val="0"/>
                <w:sz w:val="28"/>
                <w:szCs w:val="28"/>
                <w:lang w:bidi="ar"/>
              </w:rPr>
              <w:t>）全校开设课程总门数、实践教学学分占总学分比例、选修课学分占总学分比例</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教务处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ind w:left="840" w:hangingChars="300" w:hanging="840"/>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37</w:t>
            </w:r>
            <w:r>
              <w:rPr>
                <w:rFonts w:ascii="仿宋" w:eastAsia="仿宋" w:hAnsi="仿宋" w:cs="仿宋" w:hint="eastAsia"/>
                <w:color w:val="000000"/>
                <w:kern w:val="0"/>
                <w:sz w:val="28"/>
                <w:szCs w:val="28"/>
                <w:lang w:bidi="ar"/>
              </w:rPr>
              <w:t>）主讲本科课程的教授占教授总数的比例、教授</w:t>
            </w:r>
            <w:proofErr w:type="gramStart"/>
            <w:r>
              <w:rPr>
                <w:rFonts w:ascii="仿宋" w:eastAsia="仿宋" w:hAnsi="仿宋" w:cs="仿宋" w:hint="eastAsia"/>
                <w:color w:val="000000"/>
                <w:kern w:val="0"/>
                <w:sz w:val="28"/>
                <w:szCs w:val="28"/>
                <w:lang w:bidi="ar"/>
              </w:rPr>
              <w:t>授</w:t>
            </w:r>
            <w:proofErr w:type="gramEnd"/>
            <w:r>
              <w:rPr>
                <w:rFonts w:ascii="仿宋" w:eastAsia="仿宋" w:hAnsi="仿宋" w:cs="仿宋" w:hint="eastAsia"/>
                <w:color w:val="000000"/>
                <w:kern w:val="0"/>
                <w:sz w:val="28"/>
                <w:szCs w:val="28"/>
                <w:lang w:bidi="ar"/>
              </w:rPr>
              <w:t>本科课程占课程总门次数的比例</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教务处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38</w:t>
            </w:r>
            <w:r>
              <w:rPr>
                <w:rFonts w:ascii="仿宋" w:eastAsia="仿宋" w:hAnsi="仿宋" w:cs="仿宋" w:hint="eastAsia"/>
                <w:color w:val="000000"/>
                <w:kern w:val="0"/>
                <w:sz w:val="28"/>
                <w:szCs w:val="28"/>
                <w:lang w:bidi="ar"/>
              </w:rPr>
              <w:t>）艺术教育发展年度报告</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校团委</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39</w:t>
            </w:r>
            <w:r>
              <w:rPr>
                <w:rFonts w:ascii="仿宋" w:eastAsia="仿宋" w:hAnsi="仿宋" w:cs="仿宋" w:hint="eastAsia"/>
                <w:color w:val="000000"/>
                <w:kern w:val="0"/>
                <w:sz w:val="28"/>
                <w:szCs w:val="28"/>
                <w:lang w:bidi="ar"/>
              </w:rPr>
              <w:t>）本科教学质量报告</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教务处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40</w:t>
            </w:r>
            <w:r>
              <w:rPr>
                <w:rFonts w:ascii="仿宋" w:eastAsia="仿宋" w:hAnsi="仿宋" w:cs="仿宋" w:hint="eastAsia"/>
                <w:color w:val="000000"/>
                <w:kern w:val="0"/>
                <w:sz w:val="28"/>
                <w:szCs w:val="28"/>
                <w:lang w:bidi="ar"/>
              </w:rPr>
              <w:t>）教学与科研项目立项及成果应用等事项</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教务处、科技处</w:t>
            </w:r>
            <w:r w:rsidR="007D355F">
              <w:rPr>
                <w:rFonts w:ascii="仿宋" w:eastAsia="仿宋" w:hAnsi="仿宋" w:cs="仿宋" w:hint="eastAsia"/>
                <w:color w:val="000000"/>
                <w:kern w:val="0"/>
                <w:sz w:val="28"/>
                <w:szCs w:val="28"/>
                <w:lang w:bidi="ar"/>
              </w:rPr>
              <w:t>、社科处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r w:rsidR="00002B54">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）学术规范制度及不端行为查处等学风建设情况</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科技处、</w:t>
            </w:r>
            <w:r w:rsidR="007D355F">
              <w:rPr>
                <w:rFonts w:ascii="仿宋" w:eastAsia="仿宋" w:hAnsi="仿宋" w:cs="仿宋" w:hint="eastAsia"/>
                <w:color w:val="000000"/>
                <w:kern w:val="0"/>
                <w:sz w:val="28"/>
                <w:szCs w:val="28"/>
                <w:lang w:bidi="ar"/>
              </w:rPr>
              <w:t>社科处、研究生院、</w:t>
            </w:r>
            <w:r>
              <w:rPr>
                <w:rFonts w:ascii="仿宋" w:eastAsia="仿宋" w:hAnsi="仿宋" w:cs="仿宋" w:hint="eastAsia"/>
                <w:color w:val="000000"/>
                <w:kern w:val="0"/>
                <w:sz w:val="28"/>
                <w:szCs w:val="28"/>
                <w:lang w:bidi="ar"/>
              </w:rPr>
              <w:t>学生处</w:t>
            </w:r>
          </w:p>
        </w:tc>
      </w:tr>
      <w:tr w:rsidR="00177373" w:rsidTr="003D5441">
        <w:trPr>
          <w:trHeight w:val="285"/>
          <w:jc w:val="center"/>
        </w:trPr>
        <w:tc>
          <w:tcPr>
            <w:tcW w:w="725" w:type="dxa"/>
            <w:vMerge w:val="restart"/>
            <w:vAlign w:val="center"/>
          </w:tcPr>
          <w:p w:rsidR="00177373" w:rsidRDefault="00177373" w:rsidP="007D355F">
            <w:pPr>
              <w:widowControl/>
              <w:adjustRightInd w:val="0"/>
              <w:snapToGrid w:val="0"/>
              <w:spacing w:before="100" w:beforeAutospacing="1" w:after="100" w:afterAutospacing="1"/>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8</w:t>
            </w:r>
          </w:p>
        </w:tc>
        <w:tc>
          <w:tcPr>
            <w:tcW w:w="2166" w:type="dxa"/>
            <w:vMerge w:val="restart"/>
            <w:vAlign w:val="center"/>
          </w:tcPr>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学生管理</w:t>
            </w:r>
          </w:p>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服务信息</w:t>
            </w:r>
          </w:p>
          <w:p w:rsidR="00177373" w:rsidRDefault="00177373" w:rsidP="00C44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（6项）</w:t>
            </w: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r w:rsidR="00002B54">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）学籍管理</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教务处</w:t>
            </w:r>
            <w:r w:rsidR="007D355F">
              <w:rPr>
                <w:rFonts w:ascii="仿宋" w:eastAsia="仿宋" w:hAnsi="仿宋" w:cs="仿宋" w:hint="eastAsia"/>
                <w:color w:val="000000"/>
                <w:kern w:val="0"/>
                <w:sz w:val="28"/>
                <w:szCs w:val="28"/>
                <w:lang w:bidi="ar"/>
              </w:rPr>
              <w:t>、研究生院</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r w:rsidR="00002B54">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）学生奖助学金、学费减免、助学贷款、勤工俭学等情况</w:t>
            </w:r>
          </w:p>
        </w:tc>
        <w:tc>
          <w:tcPr>
            <w:tcW w:w="3680" w:type="dxa"/>
            <w:vAlign w:val="center"/>
          </w:tcPr>
          <w:p w:rsidR="00177373" w:rsidRDefault="007D355F"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研究生院、学生处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r w:rsidR="00002B54">
              <w:rPr>
                <w:rFonts w:ascii="仿宋" w:eastAsia="仿宋" w:hAnsi="仿宋" w:cs="仿宋" w:hint="eastAsia"/>
                <w:color w:val="000000"/>
                <w:kern w:val="0"/>
                <w:sz w:val="28"/>
                <w:szCs w:val="28"/>
                <w:lang w:bidi="ar"/>
              </w:rPr>
              <w:t>4</w:t>
            </w:r>
            <w:r>
              <w:rPr>
                <w:rFonts w:ascii="仿宋" w:eastAsia="仿宋" w:hAnsi="仿宋" w:cs="仿宋" w:hint="eastAsia"/>
                <w:color w:val="000000"/>
                <w:kern w:val="0"/>
                <w:sz w:val="28"/>
                <w:szCs w:val="28"/>
                <w:lang w:bidi="ar"/>
              </w:rPr>
              <w:t>）学生奖励处罚办法</w:t>
            </w:r>
          </w:p>
        </w:tc>
        <w:tc>
          <w:tcPr>
            <w:tcW w:w="3680" w:type="dxa"/>
            <w:vAlign w:val="center"/>
          </w:tcPr>
          <w:p w:rsidR="00177373" w:rsidRDefault="007D355F"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研究生院、学生处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r w:rsidR="00002B54">
              <w:rPr>
                <w:rFonts w:ascii="仿宋" w:eastAsia="仿宋" w:hAnsi="仿宋" w:cs="仿宋" w:hint="eastAsia"/>
                <w:color w:val="000000"/>
                <w:kern w:val="0"/>
                <w:sz w:val="28"/>
                <w:szCs w:val="28"/>
                <w:lang w:bidi="ar"/>
              </w:rPr>
              <w:t>5</w:t>
            </w:r>
            <w:r>
              <w:rPr>
                <w:rFonts w:ascii="仿宋" w:eastAsia="仿宋" w:hAnsi="仿宋" w:cs="仿宋" w:hint="eastAsia"/>
                <w:color w:val="000000"/>
                <w:kern w:val="0"/>
                <w:sz w:val="28"/>
                <w:szCs w:val="28"/>
                <w:lang w:bidi="ar"/>
              </w:rPr>
              <w:t>）学生申诉办法</w:t>
            </w:r>
          </w:p>
        </w:tc>
        <w:tc>
          <w:tcPr>
            <w:tcW w:w="3680" w:type="dxa"/>
            <w:vAlign w:val="center"/>
          </w:tcPr>
          <w:p w:rsidR="00177373" w:rsidRDefault="007D355F"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研究生院、学生处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46</w:t>
            </w:r>
            <w:r>
              <w:rPr>
                <w:rFonts w:ascii="仿宋" w:eastAsia="仿宋" w:hAnsi="仿宋" w:cs="仿宋" w:hint="eastAsia"/>
                <w:color w:val="000000"/>
                <w:kern w:val="0"/>
                <w:sz w:val="28"/>
                <w:szCs w:val="28"/>
                <w:lang w:bidi="ar"/>
              </w:rPr>
              <w:t>）毕业生就业创业政策措施和指导服务</w:t>
            </w:r>
          </w:p>
        </w:tc>
        <w:tc>
          <w:tcPr>
            <w:tcW w:w="3680" w:type="dxa"/>
            <w:vAlign w:val="center"/>
          </w:tcPr>
          <w:p w:rsidR="00177373" w:rsidRDefault="007D355F"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就业指导中心</w:t>
            </w:r>
            <w:r w:rsidR="00177373">
              <w:rPr>
                <w:rFonts w:ascii="仿宋" w:eastAsia="仿宋" w:hAnsi="仿宋" w:cs="仿宋" w:hint="eastAsia"/>
                <w:color w:val="000000"/>
                <w:kern w:val="0"/>
                <w:sz w:val="28"/>
                <w:szCs w:val="28"/>
                <w:lang w:bidi="ar"/>
              </w:rPr>
              <w:t>、教务处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47</w:t>
            </w:r>
            <w:r>
              <w:rPr>
                <w:rFonts w:ascii="仿宋" w:eastAsia="仿宋" w:hAnsi="仿宋" w:cs="仿宋" w:hint="eastAsia"/>
                <w:color w:val="000000"/>
                <w:kern w:val="0"/>
                <w:sz w:val="28"/>
                <w:szCs w:val="28"/>
                <w:lang w:bidi="ar"/>
              </w:rPr>
              <w:t>）毕业生就业质量年度报告</w:t>
            </w:r>
          </w:p>
        </w:tc>
        <w:tc>
          <w:tcPr>
            <w:tcW w:w="3680" w:type="dxa"/>
            <w:vAlign w:val="center"/>
          </w:tcPr>
          <w:p w:rsidR="00177373" w:rsidRDefault="007D355F"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就业指导中心</w:t>
            </w:r>
          </w:p>
        </w:tc>
      </w:tr>
      <w:tr w:rsidR="00177373" w:rsidTr="003D5441">
        <w:trPr>
          <w:trHeight w:val="514"/>
          <w:jc w:val="center"/>
        </w:trPr>
        <w:tc>
          <w:tcPr>
            <w:tcW w:w="725" w:type="dxa"/>
            <w:vMerge w:val="restart"/>
            <w:vAlign w:val="center"/>
          </w:tcPr>
          <w:p w:rsidR="00177373" w:rsidRDefault="00177373" w:rsidP="007D355F">
            <w:pPr>
              <w:widowControl/>
              <w:adjustRightInd w:val="0"/>
              <w:snapToGrid w:val="0"/>
              <w:spacing w:before="100" w:beforeAutospacing="1" w:after="100" w:afterAutospacing="1"/>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9</w:t>
            </w:r>
          </w:p>
        </w:tc>
        <w:tc>
          <w:tcPr>
            <w:tcW w:w="2166" w:type="dxa"/>
            <w:vMerge w:val="restart"/>
            <w:vAlign w:val="center"/>
          </w:tcPr>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对外交流与</w:t>
            </w:r>
          </w:p>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合作信息</w:t>
            </w:r>
          </w:p>
          <w:p w:rsidR="00177373" w:rsidRDefault="00177373" w:rsidP="00C44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（3项）</w:t>
            </w: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48</w:t>
            </w:r>
            <w:r>
              <w:rPr>
                <w:rFonts w:ascii="仿宋" w:eastAsia="仿宋" w:hAnsi="仿宋" w:cs="仿宋" w:hint="eastAsia"/>
                <w:color w:val="000000"/>
                <w:kern w:val="0"/>
                <w:sz w:val="28"/>
                <w:szCs w:val="28"/>
                <w:lang w:bidi="ar"/>
              </w:rPr>
              <w:t>）对外交流与合作办学情况</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国际交流处</w:t>
            </w:r>
          </w:p>
        </w:tc>
      </w:tr>
      <w:tr w:rsidR="00177373" w:rsidTr="003D5441">
        <w:trPr>
          <w:trHeight w:val="533"/>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sidR="00002B54">
              <w:rPr>
                <w:rFonts w:ascii="仿宋" w:eastAsia="仿宋" w:hAnsi="仿宋" w:cs="仿宋" w:hint="eastAsia"/>
                <w:color w:val="000000"/>
                <w:kern w:val="0"/>
                <w:sz w:val="28"/>
                <w:szCs w:val="28"/>
                <w:lang w:bidi="ar"/>
              </w:rPr>
              <w:t>49</w:t>
            </w:r>
            <w:r>
              <w:rPr>
                <w:rFonts w:ascii="仿宋" w:eastAsia="仿宋" w:hAnsi="仿宋" w:cs="仿宋" w:hint="eastAsia"/>
                <w:color w:val="000000"/>
                <w:kern w:val="0"/>
                <w:sz w:val="28"/>
                <w:szCs w:val="28"/>
                <w:lang w:bidi="ar"/>
              </w:rPr>
              <w:t>）外籍教师与来华留学生相关管理制度</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国际交流处</w:t>
            </w:r>
          </w:p>
        </w:tc>
      </w:tr>
      <w:tr w:rsidR="00177373" w:rsidTr="003D5441">
        <w:trPr>
          <w:trHeight w:val="285"/>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C443F5">
            <w:pPr>
              <w:adjustRightInd w:val="0"/>
              <w:snapToGrid w:val="0"/>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r w:rsidR="00002B54">
              <w:rPr>
                <w:rFonts w:ascii="仿宋" w:eastAsia="仿宋" w:hAnsi="仿宋" w:cs="仿宋" w:hint="eastAsia"/>
                <w:color w:val="000000"/>
                <w:kern w:val="0"/>
                <w:sz w:val="28"/>
                <w:szCs w:val="28"/>
                <w:lang w:bidi="ar"/>
              </w:rPr>
              <w:t>0</w:t>
            </w:r>
            <w:r>
              <w:rPr>
                <w:rFonts w:ascii="仿宋" w:eastAsia="仿宋" w:hAnsi="仿宋" w:cs="仿宋" w:hint="eastAsia"/>
                <w:color w:val="000000"/>
                <w:kern w:val="0"/>
                <w:sz w:val="28"/>
                <w:szCs w:val="28"/>
                <w:lang w:bidi="ar"/>
              </w:rPr>
              <w:t>）教师出国访学和留学生选派情况</w:t>
            </w:r>
          </w:p>
        </w:tc>
        <w:tc>
          <w:tcPr>
            <w:tcW w:w="3680" w:type="dxa"/>
            <w:vAlign w:val="center"/>
          </w:tcPr>
          <w:p w:rsidR="00177373" w:rsidRDefault="00177373"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国际交流处</w:t>
            </w:r>
          </w:p>
        </w:tc>
      </w:tr>
      <w:tr w:rsidR="00177373" w:rsidTr="003D5441">
        <w:trPr>
          <w:trHeight w:val="523"/>
          <w:jc w:val="center"/>
        </w:trPr>
        <w:tc>
          <w:tcPr>
            <w:tcW w:w="725" w:type="dxa"/>
            <w:vMerge w:val="restart"/>
            <w:vAlign w:val="center"/>
          </w:tcPr>
          <w:p w:rsidR="00177373" w:rsidRDefault="00177373" w:rsidP="007D355F">
            <w:pPr>
              <w:widowControl/>
              <w:adjustRightInd w:val="0"/>
              <w:snapToGrid w:val="0"/>
              <w:spacing w:before="100" w:beforeAutospacing="1" w:after="100" w:afterAutospacing="1"/>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lastRenderedPageBreak/>
              <w:t>10</w:t>
            </w:r>
          </w:p>
        </w:tc>
        <w:tc>
          <w:tcPr>
            <w:tcW w:w="2166" w:type="dxa"/>
            <w:vMerge w:val="restart"/>
            <w:vAlign w:val="center"/>
          </w:tcPr>
          <w:p w:rsidR="00177373" w:rsidRDefault="00177373" w:rsidP="00C443F5">
            <w:pPr>
              <w:widowControl/>
              <w:adjustRightInd w:val="0"/>
              <w:snapToGrid w:val="0"/>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其他信息</w:t>
            </w:r>
          </w:p>
          <w:p w:rsidR="00177373" w:rsidRDefault="00177373" w:rsidP="00C44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（2项）</w:t>
            </w:r>
          </w:p>
        </w:tc>
        <w:tc>
          <w:tcPr>
            <w:tcW w:w="8385" w:type="dxa"/>
            <w:vAlign w:val="center"/>
          </w:tcPr>
          <w:p w:rsidR="00177373" w:rsidRDefault="00177373" w:rsidP="00002B54">
            <w:pPr>
              <w:widowControl/>
              <w:adjustRightInd w:val="0"/>
              <w:snapToGrid w:val="0"/>
              <w:spacing w:before="100" w:beforeAutospacing="1" w:after="100" w:afterAutospacing="1"/>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r w:rsidR="00002B54">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）巡视组反馈意见和落实整改情况</w:t>
            </w:r>
          </w:p>
        </w:tc>
        <w:tc>
          <w:tcPr>
            <w:tcW w:w="3680" w:type="dxa"/>
            <w:vAlign w:val="center"/>
          </w:tcPr>
          <w:p w:rsidR="00177373" w:rsidRDefault="00647AA0"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办公室</w:t>
            </w:r>
          </w:p>
        </w:tc>
      </w:tr>
      <w:tr w:rsidR="00177373" w:rsidTr="003D5441">
        <w:trPr>
          <w:trHeight w:val="570"/>
          <w:jc w:val="center"/>
        </w:trPr>
        <w:tc>
          <w:tcPr>
            <w:tcW w:w="725"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32"/>
                <w:szCs w:val="32"/>
              </w:rPr>
            </w:pPr>
          </w:p>
        </w:tc>
        <w:tc>
          <w:tcPr>
            <w:tcW w:w="2166" w:type="dxa"/>
            <w:vMerge/>
            <w:vAlign w:val="center"/>
          </w:tcPr>
          <w:p w:rsidR="00177373" w:rsidRDefault="00177373" w:rsidP="007D355F">
            <w:pPr>
              <w:adjustRightInd w:val="0"/>
              <w:snapToGrid w:val="0"/>
              <w:spacing w:before="100" w:beforeAutospacing="1" w:after="100" w:afterAutospacing="1"/>
              <w:jc w:val="center"/>
              <w:rPr>
                <w:rFonts w:ascii="仿宋" w:eastAsia="仿宋" w:hAnsi="仿宋" w:cs="仿宋"/>
                <w:color w:val="000000"/>
                <w:sz w:val="28"/>
                <w:szCs w:val="28"/>
              </w:rPr>
            </w:pPr>
          </w:p>
        </w:tc>
        <w:tc>
          <w:tcPr>
            <w:tcW w:w="8385" w:type="dxa"/>
            <w:vAlign w:val="center"/>
          </w:tcPr>
          <w:p w:rsidR="00177373" w:rsidRDefault="00177373" w:rsidP="00002B54">
            <w:pPr>
              <w:widowControl/>
              <w:adjustRightInd w:val="0"/>
              <w:snapToGrid w:val="0"/>
              <w:spacing w:before="100" w:beforeAutospacing="1" w:after="100" w:afterAutospacing="1"/>
              <w:ind w:left="840" w:hangingChars="300" w:hanging="840"/>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r w:rsidR="00002B54">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）自然灾害、公共安全等突发事件应急处理预案、预警信息、处置情况，涉及学校的重大事件调查和处理情况</w:t>
            </w:r>
          </w:p>
        </w:tc>
        <w:tc>
          <w:tcPr>
            <w:tcW w:w="3680" w:type="dxa"/>
            <w:vAlign w:val="center"/>
          </w:tcPr>
          <w:p w:rsidR="00177373" w:rsidRDefault="007D355F" w:rsidP="007D355F">
            <w:pPr>
              <w:widowControl/>
              <w:adjustRightInd w:val="0"/>
              <w:snapToGrid w:val="0"/>
              <w:spacing w:before="100" w:beforeAutospacing="1" w:after="100" w:afterAutospacing="1"/>
              <w:jc w:val="center"/>
              <w:textAlignment w:val="bottom"/>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学校办公室、</w:t>
            </w:r>
            <w:r w:rsidR="00177373">
              <w:rPr>
                <w:rFonts w:ascii="仿宋" w:eastAsia="仿宋" w:hAnsi="仿宋" w:cs="仿宋" w:hint="eastAsia"/>
                <w:color w:val="000000"/>
                <w:kern w:val="0"/>
                <w:sz w:val="28"/>
                <w:szCs w:val="28"/>
                <w:lang w:bidi="ar"/>
              </w:rPr>
              <w:t>保卫处、</w:t>
            </w:r>
            <w:r>
              <w:rPr>
                <w:rFonts w:ascii="仿宋" w:eastAsia="仿宋" w:hAnsi="仿宋" w:cs="仿宋" w:hint="eastAsia"/>
                <w:color w:val="000000"/>
                <w:kern w:val="0"/>
                <w:sz w:val="28"/>
                <w:szCs w:val="28"/>
                <w:lang w:bidi="ar"/>
              </w:rPr>
              <w:t>后勤管理处</w:t>
            </w:r>
            <w:r w:rsidR="00177373">
              <w:rPr>
                <w:rFonts w:ascii="仿宋" w:eastAsia="仿宋" w:hAnsi="仿宋" w:cs="仿宋" w:hint="eastAsia"/>
                <w:color w:val="000000"/>
                <w:kern w:val="0"/>
                <w:sz w:val="28"/>
                <w:szCs w:val="28"/>
                <w:lang w:bidi="ar"/>
              </w:rPr>
              <w:t>、</w:t>
            </w:r>
            <w:r w:rsidR="00862C08">
              <w:rPr>
                <w:rFonts w:ascii="仿宋" w:eastAsia="仿宋" w:hAnsi="仿宋" w:cs="仿宋" w:hint="eastAsia"/>
                <w:color w:val="000000"/>
                <w:kern w:val="0"/>
                <w:sz w:val="28"/>
                <w:szCs w:val="28"/>
                <w:lang w:bidi="ar"/>
              </w:rPr>
              <w:t>驻校</w:t>
            </w:r>
            <w:r>
              <w:rPr>
                <w:rFonts w:ascii="仿宋" w:eastAsia="仿宋" w:hAnsi="仿宋" w:cs="仿宋" w:hint="eastAsia"/>
                <w:color w:val="000000"/>
                <w:kern w:val="0"/>
                <w:sz w:val="28"/>
                <w:szCs w:val="28"/>
                <w:lang w:bidi="ar"/>
              </w:rPr>
              <w:t>纪检监察组</w:t>
            </w:r>
          </w:p>
        </w:tc>
      </w:tr>
    </w:tbl>
    <w:p w:rsidR="00177373" w:rsidRPr="007D355F" w:rsidRDefault="00177373" w:rsidP="00177373">
      <w:pPr>
        <w:widowControl/>
        <w:jc w:val="center"/>
        <w:rPr>
          <w:rFonts w:ascii="宋体" w:hAnsi="宋体" w:cs="宋体"/>
          <w:b/>
          <w:bCs/>
          <w:color w:val="000000"/>
          <w:kern w:val="0"/>
          <w:sz w:val="28"/>
          <w:szCs w:val="28"/>
        </w:rPr>
      </w:pPr>
    </w:p>
    <w:p w:rsidR="00C03AE0" w:rsidRPr="00177373" w:rsidRDefault="00C03AE0" w:rsidP="00177373">
      <w:pPr>
        <w:overflowPunct w:val="0"/>
        <w:topLinePunct/>
        <w:autoSpaceDE w:val="0"/>
        <w:autoSpaceDN w:val="0"/>
        <w:adjustRightInd w:val="0"/>
        <w:snapToGrid w:val="0"/>
        <w:spacing w:line="600" w:lineRule="exact"/>
        <w:jc w:val="center"/>
        <w:rPr>
          <w:rFonts w:ascii="仿宋_GB2312" w:eastAsia="仿宋_GB2312"/>
          <w:sz w:val="32"/>
          <w:szCs w:val="32"/>
        </w:rPr>
      </w:pPr>
    </w:p>
    <w:sectPr w:rsidR="00C03AE0" w:rsidRPr="00177373" w:rsidSect="00177373">
      <w:footerReference w:type="default" r:id="rId9"/>
      <w:pgSz w:w="16838" w:h="11906" w:orient="landscape"/>
      <w:pgMar w:top="1559" w:right="1247" w:bottom="1559" w:left="124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15" w:rsidRDefault="009A0C15" w:rsidP="00722D68">
      <w:r>
        <w:separator/>
      </w:r>
    </w:p>
  </w:endnote>
  <w:endnote w:type="continuationSeparator" w:id="0">
    <w:p w:rsidR="009A0C15" w:rsidRDefault="009A0C15" w:rsidP="007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413531"/>
      <w:docPartObj>
        <w:docPartGallery w:val="Page Numbers (Bottom of Page)"/>
        <w:docPartUnique/>
      </w:docPartObj>
    </w:sdtPr>
    <w:sdtEndPr>
      <w:rPr>
        <w:rFonts w:ascii="仿宋_GB2312" w:eastAsia="仿宋_GB2312" w:hint="eastAsia"/>
        <w:sz w:val="28"/>
      </w:rPr>
    </w:sdtEndPr>
    <w:sdtContent>
      <w:p w:rsidR="00753373" w:rsidRPr="00753373" w:rsidRDefault="00753373" w:rsidP="00753373">
        <w:pPr>
          <w:pStyle w:val="a4"/>
          <w:jc w:val="center"/>
          <w:rPr>
            <w:rFonts w:ascii="仿宋_GB2312" w:eastAsia="仿宋_GB2312"/>
            <w:sz w:val="28"/>
          </w:rPr>
        </w:pPr>
        <w:r w:rsidRPr="00753373">
          <w:rPr>
            <w:rFonts w:ascii="仿宋_GB2312" w:eastAsia="仿宋_GB2312" w:hint="eastAsia"/>
            <w:sz w:val="28"/>
          </w:rPr>
          <w:fldChar w:fldCharType="begin"/>
        </w:r>
        <w:r w:rsidRPr="00753373">
          <w:rPr>
            <w:rFonts w:ascii="仿宋_GB2312" w:eastAsia="仿宋_GB2312" w:hint="eastAsia"/>
            <w:sz w:val="28"/>
          </w:rPr>
          <w:instrText>PAGE   \* MERGEFORMAT</w:instrText>
        </w:r>
        <w:r w:rsidRPr="00753373">
          <w:rPr>
            <w:rFonts w:ascii="仿宋_GB2312" w:eastAsia="仿宋_GB2312" w:hint="eastAsia"/>
            <w:sz w:val="28"/>
          </w:rPr>
          <w:fldChar w:fldCharType="separate"/>
        </w:r>
        <w:r w:rsidR="005115F8" w:rsidRPr="005115F8">
          <w:rPr>
            <w:rFonts w:ascii="仿宋_GB2312" w:eastAsia="仿宋_GB2312"/>
            <w:noProof/>
            <w:sz w:val="28"/>
            <w:lang w:val="zh-CN"/>
          </w:rPr>
          <w:t>1</w:t>
        </w:r>
        <w:r w:rsidRPr="00753373">
          <w:rPr>
            <w:rFonts w:ascii="仿宋_GB2312" w:eastAsia="仿宋_GB2312" w:hint="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15" w:rsidRDefault="009A0C15" w:rsidP="00722D68">
      <w:r>
        <w:separator/>
      </w:r>
    </w:p>
  </w:footnote>
  <w:footnote w:type="continuationSeparator" w:id="0">
    <w:p w:rsidR="009A0C15" w:rsidRDefault="009A0C15" w:rsidP="00722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0A50"/>
    <w:multiLevelType w:val="hybridMultilevel"/>
    <w:tmpl w:val="09AC4A9A"/>
    <w:lvl w:ilvl="0" w:tplc="5CC8EE1A">
      <w:start w:val="1"/>
      <w:numFmt w:val="decimalEnclosedParen"/>
      <w:lvlText w:val="%1"/>
      <w:lvlJc w:val="left"/>
      <w:pPr>
        <w:ind w:left="975" w:hanging="36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7B"/>
    <w:rsid w:val="00002B54"/>
    <w:rsid w:val="00007E3C"/>
    <w:rsid w:val="00050D87"/>
    <w:rsid w:val="00050ED2"/>
    <w:rsid w:val="000672D7"/>
    <w:rsid w:val="000F21FC"/>
    <w:rsid w:val="00107249"/>
    <w:rsid w:val="00107BDE"/>
    <w:rsid w:val="00140C44"/>
    <w:rsid w:val="00177373"/>
    <w:rsid w:val="001872DF"/>
    <w:rsid w:val="001C2F8F"/>
    <w:rsid w:val="001C7062"/>
    <w:rsid w:val="00203DE5"/>
    <w:rsid w:val="002076DA"/>
    <w:rsid w:val="002326E5"/>
    <w:rsid w:val="00236FA9"/>
    <w:rsid w:val="002464B6"/>
    <w:rsid w:val="002F1D8E"/>
    <w:rsid w:val="00337FA6"/>
    <w:rsid w:val="00371D4C"/>
    <w:rsid w:val="003A3B86"/>
    <w:rsid w:val="003D5441"/>
    <w:rsid w:val="004C64F4"/>
    <w:rsid w:val="005115F8"/>
    <w:rsid w:val="00531BF2"/>
    <w:rsid w:val="00544D3A"/>
    <w:rsid w:val="00572E2D"/>
    <w:rsid w:val="00573E40"/>
    <w:rsid w:val="005869E9"/>
    <w:rsid w:val="005C7BA1"/>
    <w:rsid w:val="005E6480"/>
    <w:rsid w:val="00646AE7"/>
    <w:rsid w:val="00647AA0"/>
    <w:rsid w:val="00652B3F"/>
    <w:rsid w:val="0072288D"/>
    <w:rsid w:val="00722D68"/>
    <w:rsid w:val="00733F1F"/>
    <w:rsid w:val="00753373"/>
    <w:rsid w:val="007560A2"/>
    <w:rsid w:val="0078574A"/>
    <w:rsid w:val="00785D61"/>
    <w:rsid w:val="007C690B"/>
    <w:rsid w:val="007D355F"/>
    <w:rsid w:val="008009D6"/>
    <w:rsid w:val="008356BB"/>
    <w:rsid w:val="00862C08"/>
    <w:rsid w:val="008B70A6"/>
    <w:rsid w:val="009A0C15"/>
    <w:rsid w:val="009D6879"/>
    <w:rsid w:val="00A53BA8"/>
    <w:rsid w:val="00AD0732"/>
    <w:rsid w:val="00B02C4A"/>
    <w:rsid w:val="00B13AE1"/>
    <w:rsid w:val="00B23D68"/>
    <w:rsid w:val="00B5284B"/>
    <w:rsid w:val="00C03AE0"/>
    <w:rsid w:val="00C443F5"/>
    <w:rsid w:val="00C47F55"/>
    <w:rsid w:val="00C71D1B"/>
    <w:rsid w:val="00D10EF3"/>
    <w:rsid w:val="00D46183"/>
    <w:rsid w:val="00DD427B"/>
    <w:rsid w:val="00DF1627"/>
    <w:rsid w:val="00DF4DC9"/>
    <w:rsid w:val="00E16CE0"/>
    <w:rsid w:val="00E228B1"/>
    <w:rsid w:val="00E33859"/>
    <w:rsid w:val="00E96BFE"/>
    <w:rsid w:val="00EA0465"/>
    <w:rsid w:val="00EC2F0C"/>
    <w:rsid w:val="00FB5B81"/>
    <w:rsid w:val="00FC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D68"/>
    <w:rPr>
      <w:sz w:val="18"/>
      <w:szCs w:val="18"/>
    </w:rPr>
  </w:style>
  <w:style w:type="paragraph" w:styleId="a4">
    <w:name w:val="footer"/>
    <w:basedOn w:val="a"/>
    <w:link w:val="Char0"/>
    <w:uiPriority w:val="99"/>
    <w:unhideWhenUsed/>
    <w:rsid w:val="00722D68"/>
    <w:pPr>
      <w:tabs>
        <w:tab w:val="center" w:pos="4153"/>
        <w:tab w:val="right" w:pos="8306"/>
      </w:tabs>
      <w:snapToGrid w:val="0"/>
      <w:jc w:val="left"/>
    </w:pPr>
    <w:rPr>
      <w:sz w:val="18"/>
      <w:szCs w:val="18"/>
    </w:rPr>
  </w:style>
  <w:style w:type="character" w:customStyle="1" w:styleId="Char0">
    <w:name w:val="页脚 Char"/>
    <w:basedOn w:val="a0"/>
    <w:link w:val="a4"/>
    <w:uiPriority w:val="99"/>
    <w:rsid w:val="00722D68"/>
    <w:rPr>
      <w:sz w:val="18"/>
      <w:szCs w:val="18"/>
    </w:rPr>
  </w:style>
  <w:style w:type="paragraph" w:styleId="a5">
    <w:name w:val="List Paragraph"/>
    <w:basedOn w:val="a"/>
    <w:uiPriority w:val="34"/>
    <w:qFormat/>
    <w:rsid w:val="005869E9"/>
    <w:pPr>
      <w:ind w:firstLineChars="200" w:firstLine="420"/>
    </w:pPr>
  </w:style>
  <w:style w:type="paragraph" w:styleId="a6">
    <w:name w:val="Balloon Text"/>
    <w:basedOn w:val="a"/>
    <w:link w:val="Char1"/>
    <w:uiPriority w:val="99"/>
    <w:semiHidden/>
    <w:unhideWhenUsed/>
    <w:rsid w:val="002076DA"/>
    <w:rPr>
      <w:sz w:val="18"/>
      <w:szCs w:val="18"/>
    </w:rPr>
  </w:style>
  <w:style w:type="character" w:customStyle="1" w:styleId="Char1">
    <w:name w:val="批注框文本 Char"/>
    <w:basedOn w:val="a0"/>
    <w:link w:val="a6"/>
    <w:uiPriority w:val="99"/>
    <w:semiHidden/>
    <w:rsid w:val="002076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D68"/>
    <w:rPr>
      <w:sz w:val="18"/>
      <w:szCs w:val="18"/>
    </w:rPr>
  </w:style>
  <w:style w:type="paragraph" w:styleId="a4">
    <w:name w:val="footer"/>
    <w:basedOn w:val="a"/>
    <w:link w:val="Char0"/>
    <w:uiPriority w:val="99"/>
    <w:unhideWhenUsed/>
    <w:rsid w:val="00722D68"/>
    <w:pPr>
      <w:tabs>
        <w:tab w:val="center" w:pos="4153"/>
        <w:tab w:val="right" w:pos="8306"/>
      </w:tabs>
      <w:snapToGrid w:val="0"/>
      <w:jc w:val="left"/>
    </w:pPr>
    <w:rPr>
      <w:sz w:val="18"/>
      <w:szCs w:val="18"/>
    </w:rPr>
  </w:style>
  <w:style w:type="character" w:customStyle="1" w:styleId="Char0">
    <w:name w:val="页脚 Char"/>
    <w:basedOn w:val="a0"/>
    <w:link w:val="a4"/>
    <w:uiPriority w:val="99"/>
    <w:rsid w:val="00722D68"/>
    <w:rPr>
      <w:sz w:val="18"/>
      <w:szCs w:val="18"/>
    </w:rPr>
  </w:style>
  <w:style w:type="paragraph" w:styleId="a5">
    <w:name w:val="List Paragraph"/>
    <w:basedOn w:val="a"/>
    <w:uiPriority w:val="34"/>
    <w:qFormat/>
    <w:rsid w:val="005869E9"/>
    <w:pPr>
      <w:ind w:firstLineChars="200" w:firstLine="420"/>
    </w:pPr>
  </w:style>
  <w:style w:type="paragraph" w:styleId="a6">
    <w:name w:val="Balloon Text"/>
    <w:basedOn w:val="a"/>
    <w:link w:val="Char1"/>
    <w:uiPriority w:val="99"/>
    <w:semiHidden/>
    <w:unhideWhenUsed/>
    <w:rsid w:val="002076DA"/>
    <w:rPr>
      <w:sz w:val="18"/>
      <w:szCs w:val="18"/>
    </w:rPr>
  </w:style>
  <w:style w:type="character" w:customStyle="1" w:styleId="Char1">
    <w:name w:val="批注框文本 Char"/>
    <w:basedOn w:val="a0"/>
    <w:link w:val="a6"/>
    <w:uiPriority w:val="99"/>
    <w:semiHidden/>
    <w:rsid w:val="002076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70649">
      <w:bodyDiv w:val="1"/>
      <w:marLeft w:val="0"/>
      <w:marRight w:val="0"/>
      <w:marTop w:val="0"/>
      <w:marBottom w:val="0"/>
      <w:divBdr>
        <w:top w:val="none" w:sz="0" w:space="0" w:color="auto"/>
        <w:left w:val="none" w:sz="0" w:space="0" w:color="auto"/>
        <w:bottom w:val="none" w:sz="0" w:space="0" w:color="auto"/>
        <w:right w:val="none" w:sz="0" w:space="0" w:color="auto"/>
      </w:divBdr>
      <w:divsChild>
        <w:div w:id="1870797129">
          <w:marLeft w:val="0"/>
          <w:marRight w:val="0"/>
          <w:marTop w:val="0"/>
          <w:marBottom w:val="0"/>
          <w:divBdr>
            <w:top w:val="none" w:sz="0" w:space="0" w:color="auto"/>
            <w:left w:val="none" w:sz="0" w:space="0" w:color="auto"/>
            <w:bottom w:val="none" w:sz="0" w:space="0" w:color="auto"/>
            <w:right w:val="none" w:sz="0" w:space="0" w:color="auto"/>
          </w:divBdr>
        </w:div>
      </w:divsChild>
    </w:div>
    <w:div w:id="1467432288">
      <w:bodyDiv w:val="1"/>
      <w:marLeft w:val="0"/>
      <w:marRight w:val="0"/>
      <w:marTop w:val="0"/>
      <w:marBottom w:val="0"/>
      <w:divBdr>
        <w:top w:val="none" w:sz="0" w:space="0" w:color="auto"/>
        <w:left w:val="none" w:sz="0" w:space="0" w:color="auto"/>
        <w:bottom w:val="none" w:sz="0" w:space="0" w:color="auto"/>
        <w:right w:val="none" w:sz="0" w:space="0" w:color="auto"/>
      </w:divBdr>
      <w:divsChild>
        <w:div w:id="559637849">
          <w:marLeft w:val="0"/>
          <w:marRight w:val="0"/>
          <w:marTop w:val="0"/>
          <w:marBottom w:val="0"/>
          <w:divBdr>
            <w:top w:val="none" w:sz="0" w:space="0" w:color="auto"/>
            <w:left w:val="none" w:sz="0" w:space="0" w:color="auto"/>
            <w:bottom w:val="none" w:sz="0" w:space="0" w:color="auto"/>
            <w:right w:val="none" w:sz="0" w:space="0" w:color="auto"/>
          </w:divBdr>
          <w:divsChild>
            <w:div w:id="1019503350">
              <w:marLeft w:val="0"/>
              <w:marRight w:val="0"/>
              <w:marTop w:val="0"/>
              <w:marBottom w:val="0"/>
              <w:divBdr>
                <w:top w:val="none" w:sz="0" w:space="0" w:color="auto"/>
                <w:left w:val="none" w:sz="0" w:space="0" w:color="auto"/>
                <w:bottom w:val="none" w:sz="0" w:space="0" w:color="auto"/>
                <w:right w:val="none" w:sz="0" w:space="0" w:color="auto"/>
              </w:divBdr>
              <w:divsChild>
                <w:div w:id="596524070">
                  <w:marLeft w:val="0"/>
                  <w:marRight w:val="0"/>
                  <w:marTop w:val="0"/>
                  <w:marBottom w:val="0"/>
                  <w:divBdr>
                    <w:top w:val="none" w:sz="0" w:space="0" w:color="auto"/>
                    <w:left w:val="none" w:sz="0" w:space="0" w:color="auto"/>
                    <w:bottom w:val="none" w:sz="0" w:space="0" w:color="auto"/>
                    <w:right w:val="none" w:sz="0" w:space="0" w:color="auto"/>
                  </w:divBdr>
                  <w:divsChild>
                    <w:div w:id="17067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95495">
      <w:bodyDiv w:val="1"/>
      <w:marLeft w:val="0"/>
      <w:marRight w:val="0"/>
      <w:marTop w:val="0"/>
      <w:marBottom w:val="0"/>
      <w:divBdr>
        <w:top w:val="none" w:sz="0" w:space="0" w:color="auto"/>
        <w:left w:val="none" w:sz="0" w:space="0" w:color="auto"/>
        <w:bottom w:val="none" w:sz="0" w:space="0" w:color="auto"/>
        <w:right w:val="none" w:sz="0" w:space="0" w:color="auto"/>
      </w:divBdr>
    </w:div>
    <w:div w:id="1648704009">
      <w:bodyDiv w:val="1"/>
      <w:marLeft w:val="0"/>
      <w:marRight w:val="0"/>
      <w:marTop w:val="0"/>
      <w:marBottom w:val="0"/>
      <w:divBdr>
        <w:top w:val="none" w:sz="0" w:space="0" w:color="auto"/>
        <w:left w:val="none" w:sz="0" w:space="0" w:color="auto"/>
        <w:bottom w:val="none" w:sz="0" w:space="0" w:color="auto"/>
        <w:right w:val="none" w:sz="0" w:space="0" w:color="auto"/>
      </w:divBdr>
      <w:divsChild>
        <w:div w:id="60866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4A8A-908F-464E-A615-35606E0E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xb-zhkl</dc:creator>
  <cp:keywords/>
  <dc:description/>
  <cp:lastModifiedBy>chaojie</cp:lastModifiedBy>
  <cp:revision>47</cp:revision>
  <cp:lastPrinted>2021-05-26T01:13:00Z</cp:lastPrinted>
  <dcterms:created xsi:type="dcterms:W3CDTF">2019-11-24T05:08:00Z</dcterms:created>
  <dcterms:modified xsi:type="dcterms:W3CDTF">2024-05-28T02:05:00Z</dcterms:modified>
</cp:coreProperties>
</file>